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cs="黑体"/>
          <w:kern w:val="0"/>
          <w:sz w:val="70"/>
          <w:szCs w:val="70"/>
        </w:rPr>
      </w:pPr>
    </w:p>
    <w:p>
      <w:pPr>
        <w:jc w:val="center"/>
        <w:rPr>
          <w:rFonts w:ascii="黑体" w:hAnsi="黑体" w:eastAsia="黑体" w:cs="黑体"/>
          <w:kern w:val="0"/>
          <w:sz w:val="32"/>
          <w:szCs w:val="32"/>
        </w:rPr>
      </w:pPr>
      <w:r>
        <w:rPr>
          <w:rFonts w:hint="eastAsia" w:ascii="黑体" w:hAnsi="黑体" w:eastAsia="黑体"/>
          <w:kern w:val="0"/>
          <w:sz w:val="36"/>
          <w:szCs w:val="36"/>
        </w:rPr>
        <w:t>2025年</w:t>
      </w:r>
      <w:r>
        <w:rPr>
          <w:rFonts w:hint="eastAsia" w:ascii="黑体" w:hAnsi="黑体" w:eastAsia="黑体" w:cs="黑体"/>
          <w:kern w:val="0"/>
          <w:sz w:val="36"/>
          <w:szCs w:val="36"/>
        </w:rPr>
        <w:t>度道县住建局部门整体支出绩效评价报告</w:t>
      </w:r>
    </w:p>
    <w:p>
      <w:pPr>
        <w:jc w:val="left"/>
      </w:pP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黑体" w:hAnsi="黑体" w:eastAsia="黑体" w:cs="黑体"/>
          <w:sz w:val="32"/>
          <w:szCs w:val="32"/>
        </w:rPr>
        <w:t>一、部门概况</w:t>
      </w:r>
    </w:p>
    <w:p>
      <w:pPr>
        <w:ind w:firstLine="600"/>
        <w:rPr>
          <w:rFonts w:ascii="仿宋" w:hAnsi="仿宋" w:eastAsia="仿宋" w:cs="仿宋"/>
          <w:sz w:val="32"/>
          <w:szCs w:val="32"/>
        </w:rPr>
      </w:pPr>
      <w:r>
        <w:rPr>
          <w:rFonts w:eastAsia="仿宋_GB2312"/>
          <w:sz w:val="32"/>
          <w:szCs w:val="32"/>
        </w:rPr>
        <w:t>（一）</w:t>
      </w:r>
      <w:r>
        <w:rPr>
          <w:rFonts w:hint="eastAsia" w:eastAsia="仿宋_GB2312"/>
          <w:b/>
          <w:bCs/>
          <w:sz w:val="32"/>
          <w:szCs w:val="32"/>
        </w:rPr>
        <w:t>部门</w:t>
      </w:r>
      <w:r>
        <w:rPr>
          <w:rFonts w:eastAsia="仿宋_GB2312"/>
          <w:b/>
          <w:bCs/>
          <w:sz w:val="32"/>
          <w:szCs w:val="32"/>
        </w:rPr>
        <w:t>基本情况</w:t>
      </w:r>
      <w:r>
        <w:rPr>
          <w:rFonts w:hint="eastAsia" w:eastAsia="仿宋_GB2312"/>
          <w:b/>
          <w:bCs/>
          <w:sz w:val="32"/>
          <w:szCs w:val="32"/>
        </w:rPr>
        <w:t>：</w:t>
      </w:r>
      <w:r>
        <w:rPr>
          <w:rFonts w:hint="eastAsia" w:ascii="仿宋" w:hAnsi="仿宋" w:eastAsia="仿宋" w:cs="仿宋"/>
          <w:sz w:val="32"/>
          <w:szCs w:val="32"/>
        </w:rPr>
        <w:t>财政全额拨款行政事业单位，全局编制人员共有159人，其中：在编在职人员96人，退休人员63人。</w:t>
      </w:r>
    </w:p>
    <w:p>
      <w:pPr>
        <w:ind w:firstLine="600"/>
        <w:rPr>
          <w:rFonts w:ascii="仿宋" w:hAnsi="仿宋" w:eastAsia="仿宋" w:cs="仿宋"/>
          <w:b/>
          <w:bCs/>
          <w:sz w:val="32"/>
          <w:szCs w:val="32"/>
        </w:rPr>
      </w:pPr>
      <w:r>
        <w:rPr>
          <w:rFonts w:hint="eastAsia" w:ascii="仿宋" w:hAnsi="仿宋" w:eastAsia="仿宋" w:cs="仿宋"/>
          <w:b/>
          <w:bCs/>
          <w:sz w:val="32"/>
          <w:szCs w:val="32"/>
        </w:rPr>
        <w:t>主要职能如下：</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w:t>
      </w:r>
      <w:r>
        <w:rPr>
          <w:rStyle w:val="7"/>
          <w:rFonts w:hint="eastAsia" w:ascii="仿宋" w:hAnsi="仿宋" w:eastAsia="仿宋" w:cs="仿宋"/>
          <w:bCs/>
          <w:sz w:val="32"/>
          <w:szCs w:val="32"/>
        </w:rPr>
        <w:t>贯彻执行与制定政策</w:t>
      </w:r>
    </w:p>
    <w:p>
      <w:pPr>
        <w:widowControl/>
        <w:numPr>
          <w:ilvl w:val="0"/>
          <w:numId w:val="1"/>
        </w:numPr>
        <w:spacing w:line="20" w:lineRule="atLeast"/>
        <w:rPr>
          <w:rFonts w:ascii="仿宋" w:hAnsi="仿宋" w:eastAsia="仿宋" w:cs="仿宋"/>
          <w:sz w:val="32"/>
          <w:szCs w:val="32"/>
        </w:rPr>
      </w:pPr>
      <w:r>
        <w:rPr>
          <w:rFonts w:hint="eastAsia" w:ascii="仿宋" w:hAnsi="仿宋" w:eastAsia="仿宋" w:cs="仿宋"/>
          <w:sz w:val="32"/>
          <w:szCs w:val="32"/>
        </w:rPr>
        <w:t>严格执行国家、省、市关于住房和城乡建设工作的法律法规和方针政策，确保行业的健康发展。</w:t>
      </w:r>
    </w:p>
    <w:p>
      <w:pPr>
        <w:widowControl/>
        <w:numPr>
          <w:ilvl w:val="0"/>
          <w:numId w:val="1"/>
        </w:numPr>
        <w:spacing w:line="20" w:lineRule="atLeast"/>
        <w:rPr>
          <w:rFonts w:ascii="仿宋" w:hAnsi="仿宋" w:eastAsia="仿宋" w:cs="仿宋"/>
          <w:sz w:val="32"/>
          <w:szCs w:val="32"/>
        </w:rPr>
      </w:pPr>
      <w:r>
        <w:rPr>
          <w:rFonts w:hint="eastAsia" w:ascii="仿宋" w:hAnsi="仿宋" w:eastAsia="仿宋" w:cs="仿宋"/>
          <w:sz w:val="32"/>
          <w:szCs w:val="32"/>
        </w:rPr>
        <w:t>拟定新型城市化、城乡建设、住房保障、工程建设、建筑业、住宅房地产业、勘察设计咨询业等领域的规范性文件，以及中长期规划和年度计划，并推动其实施。</w:t>
      </w:r>
    </w:p>
    <w:p>
      <w:pPr>
        <w:widowControl/>
        <w:numPr>
          <w:ilvl w:val="0"/>
          <w:numId w:val="1"/>
        </w:numPr>
        <w:spacing w:line="20" w:lineRule="atLeast"/>
        <w:rPr>
          <w:rFonts w:ascii="仿宋" w:hAnsi="仿宋" w:eastAsia="仿宋" w:cs="仿宋"/>
          <w:sz w:val="32"/>
          <w:szCs w:val="32"/>
        </w:rPr>
      </w:pPr>
      <w:r>
        <w:rPr>
          <w:rFonts w:hint="eastAsia" w:ascii="仿宋" w:hAnsi="仿宋" w:eastAsia="仿宋" w:cs="仿宋"/>
          <w:sz w:val="32"/>
          <w:szCs w:val="32"/>
        </w:rPr>
        <w:t>对上述领域进行行业管理，确保行业规范、有序发展。</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(2)</w:t>
      </w:r>
      <w:r>
        <w:rPr>
          <w:rStyle w:val="7"/>
          <w:rFonts w:hint="eastAsia" w:ascii="仿宋" w:hAnsi="仿宋" w:eastAsia="仿宋" w:cs="仿宋"/>
          <w:bCs/>
          <w:sz w:val="32"/>
          <w:szCs w:val="32"/>
        </w:rPr>
        <w:t>指导与管理小城镇建设</w:t>
      </w:r>
    </w:p>
    <w:p>
      <w:pPr>
        <w:widowControl/>
        <w:numPr>
          <w:ilvl w:val="0"/>
          <w:numId w:val="1"/>
        </w:numPr>
        <w:spacing w:line="20" w:lineRule="atLeast"/>
        <w:rPr>
          <w:rFonts w:ascii="仿宋" w:hAnsi="仿宋" w:eastAsia="仿宋" w:cs="仿宋"/>
          <w:sz w:val="32"/>
          <w:szCs w:val="32"/>
        </w:rPr>
      </w:pPr>
      <w:r>
        <w:rPr>
          <w:rFonts w:hint="eastAsia" w:ascii="仿宋" w:hAnsi="仿宋" w:eastAsia="仿宋" w:cs="仿宋"/>
          <w:sz w:val="32"/>
          <w:szCs w:val="32"/>
        </w:rPr>
        <w:t>指导全县小城镇的建设与管理，确保小城镇建设的科学性和合理性。</w:t>
      </w:r>
    </w:p>
    <w:p>
      <w:pPr>
        <w:widowControl/>
        <w:numPr>
          <w:ilvl w:val="0"/>
          <w:numId w:val="1"/>
        </w:numPr>
        <w:spacing w:before="72" w:line="20" w:lineRule="atLeast"/>
        <w:rPr>
          <w:rFonts w:ascii="仿宋" w:hAnsi="仿宋" w:eastAsia="仿宋" w:cs="仿宋"/>
          <w:sz w:val="32"/>
          <w:szCs w:val="32"/>
        </w:rPr>
      </w:pPr>
      <w:r>
        <w:rPr>
          <w:rFonts w:hint="eastAsia" w:ascii="仿宋" w:hAnsi="仿宋" w:eastAsia="仿宋" w:cs="仿宋"/>
          <w:sz w:val="32"/>
          <w:szCs w:val="32"/>
        </w:rPr>
        <w:t>负责全县基础设施建设的监督和管理，保障基础设施建设的顺利进行。</w:t>
      </w:r>
    </w:p>
    <w:p>
      <w:pPr>
        <w:widowControl/>
        <w:numPr>
          <w:ilvl w:val="0"/>
          <w:numId w:val="1"/>
        </w:numPr>
        <w:spacing w:before="72" w:line="20" w:lineRule="atLeast"/>
        <w:rPr>
          <w:rFonts w:ascii="仿宋" w:hAnsi="仿宋" w:eastAsia="仿宋" w:cs="仿宋"/>
          <w:sz w:val="32"/>
          <w:szCs w:val="32"/>
        </w:rPr>
      </w:pPr>
      <w:r>
        <w:rPr>
          <w:rFonts w:hint="eastAsia" w:ascii="仿宋" w:hAnsi="仿宋" w:eastAsia="仿宋" w:cs="仿宋"/>
          <w:sz w:val="32"/>
          <w:szCs w:val="32"/>
        </w:rPr>
        <w:t>对建筑行业、房地产行业违法违规案件进行查处，维护市场秩序。</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(3)</w:t>
      </w:r>
      <w:r>
        <w:rPr>
          <w:rStyle w:val="7"/>
          <w:rFonts w:hint="eastAsia" w:ascii="仿宋" w:hAnsi="仿宋" w:eastAsia="仿宋" w:cs="仿宋"/>
          <w:bCs/>
          <w:sz w:val="32"/>
          <w:szCs w:val="32"/>
        </w:rPr>
        <w:t>保障城镇低收入家庭住房</w:t>
      </w:r>
    </w:p>
    <w:p>
      <w:pPr>
        <w:widowControl/>
        <w:numPr>
          <w:ilvl w:val="0"/>
          <w:numId w:val="2"/>
        </w:numPr>
        <w:spacing w:line="20" w:lineRule="atLeast"/>
        <w:rPr>
          <w:rFonts w:ascii="仿宋" w:hAnsi="仿宋" w:eastAsia="仿宋" w:cs="仿宋"/>
          <w:sz w:val="32"/>
          <w:szCs w:val="32"/>
        </w:rPr>
      </w:pPr>
      <w:r>
        <w:rPr>
          <w:rFonts w:hint="eastAsia" w:ascii="仿宋" w:hAnsi="仿宋" w:eastAsia="仿宋" w:cs="仿宋"/>
          <w:sz w:val="32"/>
          <w:szCs w:val="32"/>
        </w:rPr>
        <w:t>拟定全县住房保障相关政策措施，确保低收入家庭的基本住房需求得到满足。</w:t>
      </w:r>
    </w:p>
    <w:p>
      <w:pPr>
        <w:widowControl/>
        <w:numPr>
          <w:ilvl w:val="0"/>
          <w:numId w:val="2"/>
        </w:numPr>
        <w:spacing w:before="72" w:line="20" w:lineRule="atLeast"/>
        <w:rPr>
          <w:rFonts w:ascii="仿宋" w:hAnsi="仿宋" w:eastAsia="仿宋" w:cs="仿宋"/>
          <w:sz w:val="32"/>
          <w:szCs w:val="32"/>
        </w:rPr>
      </w:pPr>
      <w:r>
        <w:rPr>
          <w:rFonts w:hint="eastAsia" w:ascii="仿宋" w:hAnsi="仿宋" w:eastAsia="仿宋" w:cs="仿宋"/>
          <w:sz w:val="32"/>
          <w:szCs w:val="32"/>
        </w:rPr>
        <w:t>编制保障性住房、棚户区改造发展规划及年度计划，并组织实施和监督。</w:t>
      </w:r>
    </w:p>
    <w:p>
      <w:pPr>
        <w:widowControl/>
        <w:numPr>
          <w:ilvl w:val="0"/>
          <w:numId w:val="2"/>
        </w:numPr>
        <w:spacing w:before="72" w:line="20" w:lineRule="atLeast"/>
        <w:rPr>
          <w:rFonts w:ascii="仿宋" w:hAnsi="仿宋" w:eastAsia="仿宋" w:cs="仿宋"/>
          <w:sz w:val="32"/>
          <w:szCs w:val="32"/>
        </w:rPr>
      </w:pPr>
      <w:r>
        <w:rPr>
          <w:rFonts w:hint="eastAsia" w:ascii="仿宋" w:hAnsi="仿宋" w:eastAsia="仿宋" w:cs="仿宋"/>
          <w:sz w:val="32"/>
          <w:szCs w:val="32"/>
        </w:rPr>
        <w:t>协同相关部门进行保障性住房资金的监管，确保资金的安全和有效使用。</w:t>
      </w:r>
    </w:p>
    <w:p>
      <w:pPr>
        <w:widowControl/>
        <w:numPr>
          <w:ilvl w:val="0"/>
          <w:numId w:val="2"/>
        </w:numPr>
        <w:spacing w:before="72" w:line="20" w:lineRule="atLeast"/>
        <w:rPr>
          <w:rFonts w:ascii="仿宋" w:hAnsi="仿宋" w:eastAsia="仿宋" w:cs="仿宋"/>
          <w:sz w:val="32"/>
          <w:szCs w:val="32"/>
        </w:rPr>
      </w:pPr>
      <w:r>
        <w:rPr>
          <w:rFonts w:hint="eastAsia" w:ascii="仿宋" w:hAnsi="仿宋" w:eastAsia="仿宋" w:cs="仿宋"/>
          <w:sz w:val="32"/>
          <w:szCs w:val="32"/>
        </w:rPr>
        <w:t>负责全县保障性住房的建设和管理，以及旧城改造、危房鉴定和改造的监管工作。</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(4)</w:t>
      </w:r>
      <w:r>
        <w:rPr>
          <w:rStyle w:val="7"/>
          <w:rFonts w:hint="eastAsia" w:ascii="仿宋" w:hAnsi="仿宋" w:eastAsia="仿宋" w:cs="仿宋"/>
          <w:bCs/>
          <w:sz w:val="32"/>
          <w:szCs w:val="32"/>
        </w:rPr>
        <w:t>规范房地产市场秩序</w:t>
      </w:r>
    </w:p>
    <w:p>
      <w:pPr>
        <w:widowControl/>
        <w:numPr>
          <w:ilvl w:val="0"/>
          <w:numId w:val="3"/>
        </w:numPr>
        <w:spacing w:line="20" w:lineRule="atLeast"/>
        <w:rPr>
          <w:rFonts w:ascii="仿宋" w:hAnsi="仿宋" w:eastAsia="仿宋" w:cs="仿宋"/>
          <w:sz w:val="32"/>
          <w:szCs w:val="32"/>
        </w:rPr>
      </w:pPr>
      <w:r>
        <w:rPr>
          <w:rFonts w:hint="eastAsia" w:ascii="仿宋" w:hAnsi="仿宋" w:eastAsia="仿宋" w:cs="仿宋"/>
          <w:sz w:val="32"/>
          <w:szCs w:val="32"/>
        </w:rPr>
        <w:t>拟定房地产市场监管政策措施，监督执行，确保房地产市场的健康发展。</w:t>
      </w:r>
    </w:p>
    <w:p>
      <w:pPr>
        <w:widowControl/>
        <w:numPr>
          <w:ilvl w:val="0"/>
          <w:numId w:val="3"/>
        </w:numPr>
        <w:spacing w:before="72" w:line="20" w:lineRule="atLeast"/>
        <w:rPr>
          <w:rFonts w:ascii="仿宋" w:hAnsi="仿宋" w:eastAsia="仿宋" w:cs="仿宋"/>
          <w:sz w:val="32"/>
          <w:szCs w:val="32"/>
        </w:rPr>
      </w:pPr>
      <w:r>
        <w:rPr>
          <w:rFonts w:hint="eastAsia" w:ascii="仿宋" w:hAnsi="仿宋" w:eastAsia="仿宋" w:cs="仿宋"/>
          <w:sz w:val="32"/>
          <w:szCs w:val="32"/>
        </w:rPr>
        <w:t>配合有关部门指导城镇土地使用权的有偿转让和开发利用工作。</w:t>
      </w:r>
    </w:p>
    <w:p>
      <w:pPr>
        <w:widowControl/>
        <w:numPr>
          <w:ilvl w:val="0"/>
          <w:numId w:val="3"/>
        </w:numPr>
        <w:spacing w:before="72" w:line="20" w:lineRule="atLeast"/>
        <w:rPr>
          <w:rFonts w:ascii="仿宋" w:hAnsi="仿宋" w:eastAsia="仿宋" w:cs="仿宋"/>
          <w:sz w:val="32"/>
          <w:szCs w:val="32"/>
        </w:rPr>
      </w:pPr>
      <w:r>
        <w:rPr>
          <w:rFonts w:hint="eastAsia" w:ascii="仿宋" w:hAnsi="仿宋" w:eastAsia="仿宋" w:cs="仿宋"/>
          <w:sz w:val="32"/>
          <w:szCs w:val="32"/>
        </w:rPr>
        <w:t>提出房地产业的行业发展规划和产业政策措施，拟定相关规章制度并监督执行。</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(5)</w:t>
      </w:r>
      <w:r>
        <w:rPr>
          <w:rStyle w:val="7"/>
          <w:rFonts w:hint="eastAsia" w:ascii="仿宋" w:hAnsi="仿宋" w:eastAsia="仿宋" w:cs="仿宋"/>
          <w:bCs/>
          <w:sz w:val="32"/>
          <w:szCs w:val="32"/>
        </w:rPr>
        <w:t>推进住房制度改革</w:t>
      </w:r>
    </w:p>
    <w:p>
      <w:pPr>
        <w:widowControl/>
        <w:numPr>
          <w:ilvl w:val="0"/>
          <w:numId w:val="4"/>
        </w:numPr>
        <w:spacing w:line="20" w:lineRule="atLeast"/>
        <w:rPr>
          <w:rFonts w:ascii="仿宋" w:hAnsi="仿宋" w:eastAsia="仿宋" w:cs="仿宋"/>
          <w:sz w:val="32"/>
          <w:szCs w:val="32"/>
        </w:rPr>
      </w:pPr>
      <w:r>
        <w:rPr>
          <w:rFonts w:hint="eastAsia" w:ascii="仿宋" w:hAnsi="仿宋" w:eastAsia="仿宋" w:cs="仿宋"/>
          <w:sz w:val="32"/>
          <w:szCs w:val="32"/>
        </w:rPr>
        <w:t>拟定适合县情的住房政策措施，指导住房建设和住房制度改革。</w:t>
      </w:r>
    </w:p>
    <w:p>
      <w:pPr>
        <w:widowControl/>
        <w:numPr>
          <w:ilvl w:val="0"/>
          <w:numId w:val="4"/>
        </w:numPr>
        <w:spacing w:before="72" w:line="20" w:lineRule="atLeast"/>
        <w:rPr>
          <w:rFonts w:ascii="仿宋" w:hAnsi="仿宋" w:eastAsia="仿宋" w:cs="仿宋"/>
          <w:sz w:val="32"/>
          <w:szCs w:val="32"/>
        </w:rPr>
      </w:pPr>
      <w:r>
        <w:rPr>
          <w:rFonts w:hint="eastAsia" w:ascii="仿宋" w:hAnsi="仿宋" w:eastAsia="仿宋" w:cs="仿宋"/>
          <w:sz w:val="32"/>
          <w:szCs w:val="32"/>
        </w:rPr>
        <w:t>拟定全县住房建设规划，并组织实施，以满足人民群众日益增长的住房需求。</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(6)</w:t>
      </w:r>
      <w:r>
        <w:rPr>
          <w:rStyle w:val="7"/>
          <w:rFonts w:hint="eastAsia" w:ascii="仿宋" w:hAnsi="仿宋" w:eastAsia="仿宋" w:cs="仿宋"/>
          <w:bCs/>
          <w:sz w:val="32"/>
          <w:szCs w:val="32"/>
        </w:rPr>
        <w:t>指导和管理建筑活动</w:t>
      </w:r>
    </w:p>
    <w:p>
      <w:pPr>
        <w:widowControl/>
        <w:numPr>
          <w:ilvl w:val="0"/>
          <w:numId w:val="5"/>
        </w:numPr>
        <w:spacing w:line="20" w:lineRule="atLeast"/>
        <w:rPr>
          <w:rFonts w:ascii="仿宋" w:hAnsi="仿宋" w:eastAsia="仿宋" w:cs="仿宋"/>
          <w:sz w:val="32"/>
          <w:szCs w:val="32"/>
        </w:rPr>
      </w:pPr>
      <w:r>
        <w:rPr>
          <w:rFonts w:hint="eastAsia" w:ascii="仿宋" w:hAnsi="仿宋" w:eastAsia="仿宋" w:cs="仿宋"/>
          <w:sz w:val="32"/>
          <w:szCs w:val="32"/>
        </w:rPr>
        <w:t>贯彻国家、省、市关于建筑行业、勘察设计咨询业的法律、法规、规章和规范性文件。</w:t>
      </w:r>
    </w:p>
    <w:p>
      <w:pPr>
        <w:widowControl/>
        <w:numPr>
          <w:ilvl w:val="0"/>
          <w:numId w:val="5"/>
        </w:numPr>
        <w:spacing w:before="72" w:line="20" w:lineRule="atLeast"/>
        <w:rPr>
          <w:rFonts w:ascii="仿宋" w:hAnsi="仿宋" w:eastAsia="仿宋" w:cs="仿宋"/>
          <w:sz w:val="32"/>
          <w:szCs w:val="32"/>
        </w:rPr>
      </w:pPr>
      <w:r>
        <w:rPr>
          <w:rFonts w:hint="eastAsia" w:ascii="仿宋" w:hAnsi="仿宋" w:eastAsia="仿宋" w:cs="仿宋"/>
          <w:sz w:val="32"/>
          <w:szCs w:val="32"/>
        </w:rPr>
        <w:t>拟定勘察设计咨询、工程施工、建筑监理和相关中介组织管理的制度，并监督执行。</w:t>
      </w:r>
    </w:p>
    <w:p>
      <w:pPr>
        <w:widowControl/>
        <w:numPr>
          <w:ilvl w:val="0"/>
          <w:numId w:val="5"/>
        </w:numPr>
        <w:spacing w:before="72" w:line="20" w:lineRule="atLeast"/>
        <w:rPr>
          <w:rFonts w:ascii="仿宋" w:hAnsi="仿宋" w:eastAsia="仿宋" w:cs="仿宋"/>
          <w:sz w:val="32"/>
          <w:szCs w:val="32"/>
        </w:rPr>
      </w:pPr>
      <w:r>
        <w:rPr>
          <w:rFonts w:hint="eastAsia" w:ascii="仿宋" w:hAnsi="仿宋" w:eastAsia="仿宋" w:cs="仿宋"/>
          <w:sz w:val="32"/>
          <w:szCs w:val="32"/>
        </w:rPr>
        <w:t>指导监督建筑市场准入、工程招投标、工程监理等活动，确保市场的公平竞争。</w:t>
      </w:r>
    </w:p>
    <w:p>
      <w:pPr>
        <w:widowControl/>
        <w:numPr>
          <w:ilvl w:val="0"/>
          <w:numId w:val="5"/>
        </w:numPr>
        <w:spacing w:before="72" w:line="20" w:lineRule="atLeast"/>
        <w:rPr>
          <w:rFonts w:ascii="仿宋" w:hAnsi="仿宋" w:eastAsia="仿宋" w:cs="仿宋"/>
          <w:sz w:val="32"/>
          <w:szCs w:val="32"/>
        </w:rPr>
      </w:pPr>
      <w:r>
        <w:rPr>
          <w:rFonts w:hint="eastAsia" w:ascii="仿宋" w:hAnsi="仿宋" w:eastAsia="仿宋" w:cs="仿宋"/>
          <w:sz w:val="32"/>
          <w:szCs w:val="32"/>
        </w:rPr>
        <w:t>组织建筑企业、勘察设计咨询企业参与对外工程承包、建筑劳务合作，推动行业的国际化发展。</w:t>
      </w:r>
    </w:p>
    <w:p>
      <w:pPr>
        <w:widowControl/>
        <w:numPr>
          <w:ilvl w:val="0"/>
          <w:numId w:val="5"/>
        </w:numPr>
        <w:spacing w:before="72" w:line="20" w:lineRule="atLeast"/>
        <w:rPr>
          <w:rFonts w:ascii="仿宋" w:hAnsi="仿宋" w:eastAsia="仿宋" w:cs="仿宋"/>
          <w:sz w:val="32"/>
          <w:szCs w:val="32"/>
        </w:rPr>
      </w:pPr>
      <w:r>
        <w:rPr>
          <w:rFonts w:hint="eastAsia" w:ascii="仿宋" w:hAnsi="仿宋" w:eastAsia="仿宋" w:cs="仿宋"/>
          <w:sz w:val="32"/>
          <w:szCs w:val="32"/>
        </w:rPr>
        <w:t>指导全县城建档案管理工作，确保城建档案的完整性和可利用性。</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(7)</w:t>
      </w:r>
      <w:r>
        <w:rPr>
          <w:rStyle w:val="7"/>
          <w:rFonts w:hint="eastAsia" w:ascii="仿宋" w:hAnsi="仿宋" w:eastAsia="仿宋" w:cs="仿宋"/>
          <w:bCs/>
          <w:sz w:val="32"/>
          <w:szCs w:val="32"/>
        </w:rPr>
        <w:t>实施科学规范的工程建设标准体系</w:t>
      </w:r>
    </w:p>
    <w:p>
      <w:pPr>
        <w:widowControl/>
        <w:numPr>
          <w:ilvl w:val="0"/>
          <w:numId w:val="6"/>
        </w:numPr>
        <w:spacing w:line="20" w:lineRule="atLeast"/>
        <w:rPr>
          <w:rFonts w:ascii="仿宋" w:hAnsi="仿宋" w:eastAsia="仿宋" w:cs="仿宋"/>
          <w:sz w:val="32"/>
          <w:szCs w:val="32"/>
        </w:rPr>
      </w:pPr>
      <w:r>
        <w:rPr>
          <w:rFonts w:hint="eastAsia" w:ascii="仿宋" w:hAnsi="仿宋" w:eastAsia="仿宋" w:cs="仿宋"/>
          <w:sz w:val="32"/>
          <w:szCs w:val="32"/>
        </w:rPr>
        <w:t>贯彻执行国家、省关于工程建设实施阶段的相关标准、定额和行业规定。</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组织拟定具体实施办法，并监督指导各类工程建设造价、标准定额的实施。</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拟定并发布全县工程建设地方性材料季节调差规范性文件，确保工程建设的科学性和经济性。</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(8)</w:t>
      </w:r>
      <w:r>
        <w:rPr>
          <w:rStyle w:val="7"/>
          <w:rFonts w:hint="eastAsia" w:ascii="仿宋" w:hAnsi="仿宋" w:eastAsia="仿宋" w:cs="仿宋"/>
          <w:bCs/>
          <w:sz w:val="32"/>
          <w:szCs w:val="32"/>
        </w:rPr>
        <w:t>质量安全监管</w:t>
      </w:r>
    </w:p>
    <w:p>
      <w:pPr>
        <w:widowControl/>
        <w:numPr>
          <w:ilvl w:val="0"/>
          <w:numId w:val="7"/>
        </w:numPr>
        <w:spacing w:line="20" w:lineRule="atLeast"/>
        <w:rPr>
          <w:rFonts w:ascii="仿宋" w:hAnsi="仿宋" w:eastAsia="仿宋" w:cs="仿宋"/>
          <w:sz w:val="32"/>
          <w:szCs w:val="32"/>
        </w:rPr>
      </w:pPr>
      <w:r>
        <w:rPr>
          <w:rFonts w:hint="eastAsia" w:ascii="仿宋" w:hAnsi="仿宋" w:eastAsia="仿宋" w:cs="仿宋"/>
          <w:sz w:val="32"/>
          <w:szCs w:val="32"/>
        </w:rPr>
        <w:t>拟定工程质量、安全生产和竣工验收备案的政策措施、规章制度，并监督执行。</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组织或参与工程质量、安全事故的调查处理，确保事故得到妥善处理。</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负责实施各类房屋建筑及其附属设施和城市市政设施的建设工程抗震设防工作，确保工程的安全性。</w:t>
      </w:r>
    </w:p>
    <w:p>
      <w:pPr>
        <w:widowControl/>
        <w:numPr>
          <w:ilvl w:val="0"/>
          <w:numId w:val="7"/>
        </w:numPr>
        <w:spacing w:before="72" w:line="20" w:lineRule="atLeast"/>
        <w:rPr>
          <w:rFonts w:ascii="仿宋" w:hAnsi="仿宋" w:eastAsia="仿宋" w:cs="仿宋"/>
          <w:bCs/>
          <w:sz w:val="32"/>
          <w:szCs w:val="32"/>
        </w:rPr>
      </w:pPr>
      <w:r>
        <w:rPr>
          <w:rFonts w:hint="eastAsia" w:ascii="仿宋" w:hAnsi="仿宋" w:eastAsia="仿宋" w:cs="仿宋"/>
          <w:sz w:val="32"/>
          <w:szCs w:val="32"/>
        </w:rPr>
        <w:t>指导城市地下空间的勘察设计、工程质量安全及开发利用，推动城市地下空间的合理利用。</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(9)</w:t>
      </w:r>
      <w:r>
        <w:rPr>
          <w:rStyle w:val="7"/>
          <w:rFonts w:hint="eastAsia" w:ascii="仿宋" w:hAnsi="仿宋" w:eastAsia="仿宋" w:cs="仿宋"/>
          <w:bCs/>
          <w:sz w:val="32"/>
          <w:szCs w:val="32"/>
        </w:rPr>
        <w:t>历史文化名城、名镇、名村的初审报批和保护监督工作</w:t>
      </w:r>
      <w:r>
        <w:rPr>
          <w:rFonts w:hint="eastAsia" w:ascii="仿宋" w:hAnsi="仿宋" w:eastAsia="仿宋" w:cs="仿宋"/>
          <w:sz w:val="32"/>
          <w:szCs w:val="32"/>
        </w:rPr>
        <w:t>：</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与相关部门合作，对申报的历史文化名城、名镇、名村进行初步审核，确保其符合相关标准和要求。</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对已认定的历史文化名城、名镇、名村进行保护监督，确保其历史文化遗产得到妥善保护和传承。</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制定并执行相关保护措施，防止历史文化名城、名镇、名村受到破坏或不当开发。</w:t>
      </w:r>
    </w:p>
    <w:p>
      <w:pPr>
        <w:widowControl/>
        <w:numPr>
          <w:ilvl w:val="0"/>
          <w:numId w:val="8"/>
        </w:numPr>
        <w:spacing w:before="72" w:line="20" w:lineRule="atLeast"/>
        <w:ind w:left="0"/>
        <w:rPr>
          <w:rFonts w:ascii="仿宋" w:hAnsi="仿宋" w:eastAsia="仿宋" w:cs="仿宋"/>
          <w:sz w:val="32"/>
          <w:szCs w:val="32"/>
        </w:rPr>
      </w:pP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(10)</w:t>
      </w:r>
      <w:r>
        <w:rPr>
          <w:rStyle w:val="7"/>
          <w:rFonts w:hint="eastAsia" w:ascii="仿宋" w:hAnsi="仿宋" w:eastAsia="仿宋" w:cs="仿宋"/>
          <w:bCs/>
          <w:sz w:val="32"/>
          <w:szCs w:val="32"/>
        </w:rPr>
        <w:t>推进新型城镇化工作</w:t>
      </w:r>
      <w:r>
        <w:rPr>
          <w:rFonts w:hint="eastAsia" w:ascii="仿宋" w:hAnsi="仿宋" w:eastAsia="仿宋" w:cs="仿宋"/>
          <w:sz w:val="32"/>
          <w:szCs w:val="32"/>
        </w:rPr>
        <w:t>：</w:t>
      </w:r>
    </w:p>
    <w:p>
      <w:pPr>
        <w:widowControl/>
        <w:numPr>
          <w:ilvl w:val="0"/>
          <w:numId w:val="9"/>
        </w:numPr>
        <w:spacing w:line="20" w:lineRule="atLeast"/>
        <w:rPr>
          <w:rFonts w:ascii="仿宋" w:hAnsi="仿宋" w:eastAsia="仿宋" w:cs="仿宋"/>
          <w:sz w:val="32"/>
          <w:szCs w:val="32"/>
        </w:rPr>
      </w:pPr>
      <w:r>
        <w:rPr>
          <w:rFonts w:hint="eastAsia" w:ascii="仿宋" w:hAnsi="仿宋" w:eastAsia="仿宋" w:cs="仿宋"/>
          <w:sz w:val="32"/>
          <w:szCs w:val="32"/>
        </w:rPr>
        <w:t>组织并推动全县范围内的新型城镇化工作，包括智慧城市、海绵城市的建设。</w:t>
      </w:r>
    </w:p>
    <w:p>
      <w:pPr>
        <w:widowControl/>
        <w:numPr>
          <w:ilvl w:val="0"/>
          <w:numId w:val="9"/>
        </w:numPr>
        <w:spacing w:before="72" w:line="20" w:lineRule="atLeast"/>
        <w:rPr>
          <w:rFonts w:ascii="仿宋" w:hAnsi="仿宋" w:eastAsia="仿宋" w:cs="仿宋"/>
          <w:sz w:val="32"/>
          <w:szCs w:val="32"/>
        </w:rPr>
      </w:pPr>
      <w:r>
        <w:rPr>
          <w:rFonts w:hint="eastAsia" w:ascii="仿宋" w:hAnsi="仿宋" w:eastAsia="仿宋" w:cs="仿宋"/>
          <w:sz w:val="32"/>
          <w:szCs w:val="32"/>
        </w:rPr>
        <w:t>拟定并实施村镇建设政策措施，促进农村地区的城市化进程。</w:t>
      </w:r>
    </w:p>
    <w:p>
      <w:pPr>
        <w:widowControl/>
        <w:numPr>
          <w:ilvl w:val="0"/>
          <w:numId w:val="9"/>
        </w:numPr>
        <w:spacing w:before="72" w:line="20" w:lineRule="atLeast"/>
        <w:rPr>
          <w:rFonts w:ascii="仿宋" w:hAnsi="仿宋" w:eastAsia="仿宋" w:cs="仿宋"/>
          <w:sz w:val="32"/>
          <w:szCs w:val="32"/>
        </w:rPr>
      </w:pPr>
      <w:r>
        <w:rPr>
          <w:rFonts w:hint="eastAsia" w:ascii="仿宋" w:hAnsi="仿宋" w:eastAsia="仿宋" w:cs="仿宋"/>
          <w:sz w:val="32"/>
          <w:szCs w:val="32"/>
        </w:rPr>
        <w:t>指导示范镇、重点镇的建设工作，推动城乡一体化发展。</w:t>
      </w:r>
    </w:p>
    <w:p>
      <w:pPr>
        <w:widowControl/>
        <w:numPr>
          <w:ilvl w:val="0"/>
          <w:numId w:val="9"/>
        </w:numPr>
        <w:spacing w:before="72" w:line="20" w:lineRule="atLeast"/>
        <w:rPr>
          <w:rFonts w:ascii="仿宋" w:hAnsi="仿宋" w:eastAsia="仿宋" w:cs="仿宋"/>
          <w:sz w:val="32"/>
          <w:szCs w:val="32"/>
        </w:rPr>
      </w:pPr>
      <w:r>
        <w:rPr>
          <w:rFonts w:hint="eastAsia" w:ascii="仿宋" w:hAnsi="仿宋" w:eastAsia="仿宋" w:cs="仿宋"/>
          <w:sz w:val="32"/>
          <w:szCs w:val="32"/>
        </w:rPr>
        <w:t>对各类示范镇村、传统村落进行评审、推荐，提高农村地区的生活质量和发展水平。</w:t>
      </w:r>
    </w:p>
    <w:p>
      <w:pPr>
        <w:widowControl/>
        <w:numPr>
          <w:ilvl w:val="0"/>
          <w:numId w:val="9"/>
        </w:numPr>
        <w:spacing w:before="72" w:line="20" w:lineRule="atLeast"/>
        <w:rPr>
          <w:rFonts w:ascii="仿宋" w:hAnsi="仿宋" w:eastAsia="仿宋" w:cs="仿宋"/>
          <w:sz w:val="32"/>
          <w:szCs w:val="32"/>
        </w:rPr>
      </w:pPr>
      <w:r>
        <w:rPr>
          <w:rFonts w:hint="eastAsia" w:ascii="仿宋" w:hAnsi="仿宋" w:eastAsia="仿宋" w:cs="仿宋"/>
          <w:sz w:val="32"/>
          <w:szCs w:val="32"/>
        </w:rPr>
        <w:t>组织、指导规范农村建房工作和农村危房改造工作，改善农村居民的居住条件。</w:t>
      </w:r>
    </w:p>
    <w:p>
      <w:pPr>
        <w:widowControl/>
        <w:numPr>
          <w:ilvl w:val="0"/>
          <w:numId w:val="9"/>
        </w:numPr>
        <w:spacing w:before="72" w:line="20" w:lineRule="atLeast"/>
        <w:rPr>
          <w:rFonts w:ascii="仿宋" w:hAnsi="仿宋" w:eastAsia="仿宋" w:cs="仿宋"/>
          <w:sz w:val="32"/>
          <w:szCs w:val="32"/>
        </w:rPr>
      </w:pPr>
      <w:r>
        <w:rPr>
          <w:rFonts w:hint="eastAsia" w:ascii="仿宋" w:hAnsi="仿宋" w:eastAsia="仿宋" w:cs="仿宋"/>
          <w:sz w:val="32"/>
          <w:szCs w:val="32"/>
        </w:rPr>
        <w:t>与有关部门合作，指导乡镇污水处理设施建设和乡镇黑臭水体治理工作，改善农村生态环境。</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(11)</w:t>
      </w:r>
      <w:r>
        <w:rPr>
          <w:rStyle w:val="7"/>
          <w:rFonts w:hint="eastAsia" w:ascii="仿宋" w:hAnsi="仿宋" w:eastAsia="仿宋" w:cs="仿宋"/>
          <w:bCs/>
          <w:sz w:val="32"/>
          <w:szCs w:val="32"/>
        </w:rPr>
        <w:t>推进建筑节能与建设科技进步工作</w:t>
      </w:r>
      <w:r>
        <w:rPr>
          <w:rFonts w:hint="eastAsia" w:ascii="仿宋" w:hAnsi="仿宋" w:eastAsia="仿宋" w:cs="仿宋"/>
          <w:sz w:val="32"/>
          <w:szCs w:val="32"/>
        </w:rPr>
        <w:t>：</w:t>
      </w:r>
    </w:p>
    <w:p>
      <w:pPr>
        <w:widowControl/>
        <w:numPr>
          <w:ilvl w:val="0"/>
          <w:numId w:val="10"/>
        </w:numPr>
        <w:spacing w:line="20" w:lineRule="atLeast"/>
        <w:rPr>
          <w:rFonts w:ascii="仿宋" w:hAnsi="仿宋" w:eastAsia="仿宋" w:cs="仿宋"/>
          <w:sz w:val="32"/>
          <w:szCs w:val="32"/>
        </w:rPr>
      </w:pPr>
      <w:r>
        <w:rPr>
          <w:rFonts w:hint="eastAsia" w:ascii="仿宋" w:hAnsi="仿宋" w:eastAsia="仿宋" w:cs="仿宋"/>
          <w:sz w:val="32"/>
          <w:szCs w:val="32"/>
        </w:rPr>
        <w:t>拟定并监督实施全县建筑节能、绿色建筑、装配式建筑等政策、行业规划。</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组织住房和城乡建设领域的科技项目攻关，推动新技术、新产品的开发利用和科技成果转化。</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负责管理行业科技成果，提高建设行业的科技水平。</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(12)</w:t>
      </w:r>
      <w:r>
        <w:rPr>
          <w:rStyle w:val="7"/>
          <w:rFonts w:hint="eastAsia" w:ascii="仿宋" w:hAnsi="仿宋" w:eastAsia="仿宋" w:cs="仿宋"/>
          <w:bCs/>
          <w:sz w:val="32"/>
          <w:szCs w:val="32"/>
        </w:rPr>
        <w:t>勘察设计咨询行业发展规划与监管</w:t>
      </w:r>
      <w:r>
        <w:rPr>
          <w:rFonts w:hint="eastAsia" w:ascii="仿宋" w:hAnsi="仿宋" w:eastAsia="仿宋" w:cs="仿宋"/>
          <w:sz w:val="32"/>
          <w:szCs w:val="32"/>
        </w:rPr>
        <w:t>：</w:t>
      </w:r>
    </w:p>
    <w:p>
      <w:pPr>
        <w:widowControl/>
        <w:numPr>
          <w:ilvl w:val="0"/>
          <w:numId w:val="11"/>
        </w:numPr>
        <w:spacing w:line="20" w:lineRule="atLeast"/>
        <w:rPr>
          <w:rFonts w:ascii="仿宋" w:hAnsi="仿宋" w:eastAsia="仿宋" w:cs="仿宋"/>
          <w:sz w:val="32"/>
          <w:szCs w:val="32"/>
        </w:rPr>
      </w:pPr>
      <w:r>
        <w:rPr>
          <w:rFonts w:hint="eastAsia" w:ascii="仿宋" w:hAnsi="仿宋" w:eastAsia="仿宋" w:cs="仿宋"/>
          <w:sz w:val="32"/>
          <w:szCs w:val="32"/>
        </w:rPr>
        <w:t>拟定全县勘察设计咨询行业发展规划，促进该行业的健康发展。</w:t>
      </w:r>
    </w:p>
    <w:p>
      <w:pPr>
        <w:widowControl/>
        <w:numPr>
          <w:ilvl w:val="0"/>
          <w:numId w:val="11"/>
        </w:numPr>
        <w:spacing w:before="72" w:line="20" w:lineRule="atLeast"/>
        <w:rPr>
          <w:rFonts w:ascii="仿宋" w:hAnsi="仿宋" w:eastAsia="仿宋" w:cs="仿宋"/>
          <w:sz w:val="32"/>
          <w:szCs w:val="32"/>
        </w:rPr>
      </w:pPr>
      <w:r>
        <w:rPr>
          <w:rFonts w:hint="eastAsia" w:ascii="仿宋" w:hAnsi="仿宋" w:eastAsia="仿宋" w:cs="仿宋"/>
          <w:sz w:val="32"/>
          <w:szCs w:val="32"/>
        </w:rPr>
        <w:t>对勘察设计、装修装饰（含室内装修装饰）行业进行市场监管，确保市场秩序和公平竞争。</w:t>
      </w:r>
    </w:p>
    <w:p>
      <w:pPr>
        <w:widowControl/>
        <w:numPr>
          <w:ilvl w:val="0"/>
          <w:numId w:val="11"/>
        </w:numPr>
        <w:spacing w:before="72" w:line="20" w:lineRule="atLeast"/>
        <w:rPr>
          <w:rFonts w:ascii="仿宋" w:hAnsi="仿宋" w:eastAsia="仿宋" w:cs="仿宋"/>
          <w:sz w:val="32"/>
          <w:szCs w:val="32"/>
        </w:rPr>
      </w:pPr>
      <w:r>
        <w:rPr>
          <w:rFonts w:hint="eastAsia" w:ascii="仿宋" w:hAnsi="仿宋" w:eastAsia="仿宋" w:cs="仿宋"/>
          <w:sz w:val="32"/>
          <w:szCs w:val="32"/>
        </w:rPr>
        <w:t>负责建设工程初步设计审批、施工图审查工作，提高工程设计水平。</w:t>
      </w:r>
    </w:p>
    <w:p>
      <w:pPr>
        <w:widowControl/>
        <w:numPr>
          <w:ilvl w:val="0"/>
          <w:numId w:val="11"/>
        </w:numPr>
        <w:spacing w:before="72" w:line="20" w:lineRule="atLeast"/>
        <w:rPr>
          <w:rFonts w:ascii="仿宋" w:hAnsi="仿宋" w:eastAsia="仿宋" w:cs="仿宋"/>
          <w:sz w:val="32"/>
          <w:szCs w:val="32"/>
        </w:rPr>
      </w:pPr>
      <w:r>
        <w:rPr>
          <w:rFonts w:hint="eastAsia" w:ascii="仿宋" w:hAnsi="仿宋" w:eastAsia="仿宋" w:cs="仿宋"/>
          <w:sz w:val="32"/>
          <w:szCs w:val="32"/>
        </w:rPr>
        <w:t>负责建设工程人防、消防设计审查、验收、备案和抽查工作，确保建设工程符合安全要求。</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(13)</w:t>
      </w:r>
      <w:r>
        <w:rPr>
          <w:rStyle w:val="7"/>
          <w:rFonts w:hint="eastAsia" w:ascii="仿宋" w:hAnsi="仿宋" w:eastAsia="仿宋" w:cs="仿宋"/>
          <w:bCs/>
          <w:sz w:val="32"/>
          <w:szCs w:val="32"/>
        </w:rPr>
        <w:t>城市基础设施配套费征收与管理</w:t>
      </w:r>
      <w:r>
        <w:rPr>
          <w:rFonts w:hint="eastAsia" w:ascii="仿宋" w:hAnsi="仿宋" w:eastAsia="仿宋" w:cs="仿宋"/>
          <w:sz w:val="32"/>
          <w:szCs w:val="32"/>
        </w:rPr>
        <w:t>：</w:t>
      </w:r>
    </w:p>
    <w:p>
      <w:pPr>
        <w:widowControl/>
        <w:numPr>
          <w:ilvl w:val="0"/>
          <w:numId w:val="12"/>
        </w:numPr>
        <w:spacing w:line="20" w:lineRule="atLeast"/>
        <w:rPr>
          <w:rFonts w:ascii="仿宋" w:hAnsi="仿宋" w:eastAsia="仿宋" w:cs="仿宋"/>
          <w:sz w:val="32"/>
          <w:szCs w:val="32"/>
        </w:rPr>
      </w:pPr>
      <w:r>
        <w:rPr>
          <w:rFonts w:hint="eastAsia" w:ascii="仿宋" w:hAnsi="仿宋" w:eastAsia="仿宋" w:cs="仿宋"/>
          <w:sz w:val="32"/>
          <w:szCs w:val="32"/>
        </w:rPr>
        <w:t>负责全县城市基础设施配套费的征收工作，确保资金足额征收。</w:t>
      </w:r>
    </w:p>
    <w:p>
      <w:pPr>
        <w:widowControl/>
        <w:numPr>
          <w:ilvl w:val="0"/>
          <w:numId w:val="12"/>
        </w:numPr>
        <w:spacing w:before="72" w:line="20" w:lineRule="atLeast"/>
        <w:rPr>
          <w:rFonts w:ascii="仿宋" w:hAnsi="仿宋" w:eastAsia="仿宋" w:cs="仿宋"/>
          <w:sz w:val="32"/>
          <w:szCs w:val="32"/>
        </w:rPr>
      </w:pPr>
      <w:r>
        <w:rPr>
          <w:rFonts w:hint="eastAsia" w:ascii="仿宋" w:hAnsi="仿宋" w:eastAsia="仿宋" w:cs="仿宋"/>
          <w:sz w:val="32"/>
          <w:szCs w:val="32"/>
        </w:rPr>
        <w:t>与财政等有关部门合作，管理城市建设资金及其他专项资金，确保资金使用的合规性和有效性。</w:t>
      </w:r>
    </w:p>
    <w:p>
      <w:pPr>
        <w:widowControl/>
        <w:numPr>
          <w:ilvl w:val="0"/>
          <w:numId w:val="12"/>
        </w:numPr>
        <w:spacing w:before="72" w:line="20" w:lineRule="atLeast"/>
        <w:rPr>
          <w:rFonts w:ascii="仿宋" w:hAnsi="仿宋" w:eastAsia="仿宋" w:cs="仿宋"/>
          <w:sz w:val="32"/>
          <w:szCs w:val="32"/>
        </w:rPr>
      </w:pPr>
      <w:r>
        <w:rPr>
          <w:rFonts w:hint="eastAsia" w:ascii="仿宋" w:hAnsi="仿宋" w:eastAsia="仿宋" w:cs="仿宋"/>
          <w:sz w:val="32"/>
          <w:szCs w:val="32"/>
        </w:rPr>
        <w:t>监督各项资金使用情况，防止资金浪费和滥用。</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(14)</w:t>
      </w:r>
      <w:r>
        <w:rPr>
          <w:rStyle w:val="7"/>
          <w:rFonts w:hint="eastAsia" w:ascii="仿宋" w:hAnsi="仿宋" w:eastAsia="仿宋" w:cs="仿宋"/>
          <w:bCs/>
          <w:sz w:val="32"/>
          <w:szCs w:val="32"/>
        </w:rPr>
        <w:t>建设工程施工许可证核发</w:t>
      </w:r>
      <w:r>
        <w:rPr>
          <w:rFonts w:hint="eastAsia" w:ascii="仿宋" w:hAnsi="仿宋" w:eastAsia="仿宋" w:cs="仿宋"/>
          <w:sz w:val="32"/>
          <w:szCs w:val="32"/>
        </w:rPr>
        <w:t>：</w:t>
      </w:r>
    </w:p>
    <w:p>
      <w:pPr>
        <w:widowControl/>
        <w:numPr>
          <w:ilvl w:val="0"/>
          <w:numId w:val="13"/>
        </w:numPr>
        <w:spacing w:line="20" w:lineRule="atLeast"/>
        <w:rPr>
          <w:rFonts w:ascii="仿宋" w:hAnsi="仿宋" w:eastAsia="仿宋" w:cs="仿宋"/>
          <w:sz w:val="32"/>
          <w:szCs w:val="32"/>
        </w:rPr>
      </w:pPr>
      <w:r>
        <w:rPr>
          <w:rFonts w:hint="eastAsia" w:ascii="仿宋" w:hAnsi="仿宋" w:eastAsia="仿宋" w:cs="仿宋"/>
          <w:sz w:val="32"/>
          <w:szCs w:val="32"/>
        </w:rPr>
        <w:t>负责核发建设工程施工许可证，确保建设工程依法合规施工。</w:t>
      </w:r>
    </w:p>
    <w:p>
      <w:pPr>
        <w:widowControl/>
        <w:numPr>
          <w:ilvl w:val="0"/>
          <w:numId w:val="13"/>
        </w:numPr>
        <w:spacing w:before="72" w:line="20" w:lineRule="atLeast"/>
        <w:rPr>
          <w:rFonts w:ascii="仿宋" w:hAnsi="仿宋" w:eastAsia="仿宋" w:cs="仿宋"/>
          <w:sz w:val="32"/>
          <w:szCs w:val="32"/>
        </w:rPr>
      </w:pPr>
      <w:r>
        <w:rPr>
          <w:rFonts w:hint="eastAsia" w:ascii="仿宋" w:hAnsi="仿宋" w:eastAsia="仿宋" w:cs="仿宋"/>
          <w:sz w:val="32"/>
          <w:szCs w:val="32"/>
        </w:rPr>
        <w:t>按照国家改革要求，推进建设工程规划许可与施工许可的合并实施，简化审批流程。</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(15)</w:t>
      </w:r>
      <w:r>
        <w:rPr>
          <w:rStyle w:val="7"/>
          <w:rFonts w:hint="eastAsia" w:ascii="仿宋" w:hAnsi="仿宋" w:eastAsia="仿宋" w:cs="仿宋"/>
          <w:bCs/>
          <w:sz w:val="32"/>
          <w:szCs w:val="32"/>
        </w:rPr>
        <w:t>建设行业人才发展规划与培训</w:t>
      </w:r>
      <w:r>
        <w:rPr>
          <w:rFonts w:hint="eastAsia" w:ascii="仿宋" w:hAnsi="仿宋" w:eastAsia="仿宋" w:cs="仿宋"/>
          <w:sz w:val="32"/>
          <w:szCs w:val="32"/>
        </w:rPr>
        <w:t>：</w:t>
      </w:r>
    </w:p>
    <w:p>
      <w:pPr>
        <w:widowControl/>
        <w:numPr>
          <w:ilvl w:val="0"/>
          <w:numId w:val="14"/>
        </w:numPr>
        <w:spacing w:line="20" w:lineRule="atLeast"/>
        <w:rPr>
          <w:rFonts w:ascii="仿宋" w:hAnsi="仿宋" w:eastAsia="仿宋" w:cs="仿宋"/>
          <w:sz w:val="32"/>
          <w:szCs w:val="32"/>
        </w:rPr>
      </w:pPr>
      <w:r>
        <w:rPr>
          <w:rFonts w:hint="eastAsia" w:ascii="仿宋" w:hAnsi="仿宋" w:eastAsia="仿宋" w:cs="仿宋"/>
          <w:sz w:val="32"/>
          <w:szCs w:val="32"/>
        </w:rPr>
        <w:t>拟定建设行业人才发展规划，为行业发展提供人才保障。</w:t>
      </w:r>
    </w:p>
    <w:p>
      <w:pPr>
        <w:widowControl/>
        <w:numPr>
          <w:ilvl w:val="0"/>
          <w:numId w:val="14"/>
        </w:numPr>
        <w:spacing w:before="72" w:line="20" w:lineRule="atLeast"/>
        <w:rPr>
          <w:rFonts w:ascii="仿宋" w:hAnsi="仿宋" w:eastAsia="仿宋" w:cs="仿宋"/>
          <w:sz w:val="32"/>
          <w:szCs w:val="32"/>
        </w:rPr>
      </w:pPr>
      <w:r>
        <w:rPr>
          <w:rFonts w:hint="eastAsia" w:ascii="仿宋" w:hAnsi="仿宋" w:eastAsia="仿宋" w:cs="仿宋"/>
          <w:sz w:val="32"/>
          <w:szCs w:val="32"/>
        </w:rPr>
        <w:t>指导本系统行业人才（含农村工匠）队伍建设，提高行业人才队伍的整体素质。</w:t>
      </w:r>
    </w:p>
    <w:p>
      <w:pPr>
        <w:widowControl/>
        <w:numPr>
          <w:ilvl w:val="0"/>
          <w:numId w:val="14"/>
        </w:numPr>
        <w:spacing w:before="72" w:line="20" w:lineRule="atLeast"/>
        <w:rPr>
          <w:rFonts w:ascii="仿宋" w:hAnsi="仿宋" w:eastAsia="仿宋" w:cs="仿宋"/>
          <w:sz w:val="32"/>
          <w:szCs w:val="32"/>
        </w:rPr>
      </w:pPr>
      <w:r>
        <w:rPr>
          <w:rFonts w:hint="eastAsia" w:ascii="仿宋" w:hAnsi="仿宋" w:eastAsia="仿宋" w:cs="仿宋"/>
          <w:sz w:val="32"/>
          <w:szCs w:val="32"/>
        </w:rPr>
        <w:t>组织开展本系统职工队伍的培训和继续教育工作，提升职工的专业技能水平。</w:t>
      </w:r>
    </w:p>
    <w:p>
      <w:pPr>
        <w:widowControl/>
        <w:numPr>
          <w:ilvl w:val="0"/>
          <w:numId w:val="14"/>
        </w:numPr>
        <w:spacing w:before="72" w:line="20" w:lineRule="atLeast"/>
        <w:rPr>
          <w:rFonts w:ascii="仿宋" w:hAnsi="仿宋" w:eastAsia="仿宋" w:cs="仿宋"/>
          <w:sz w:val="32"/>
          <w:szCs w:val="32"/>
        </w:rPr>
      </w:pPr>
      <w:r>
        <w:rPr>
          <w:rFonts w:hint="eastAsia" w:ascii="仿宋" w:hAnsi="仿宋" w:eastAsia="仿宋" w:cs="仿宋"/>
          <w:sz w:val="32"/>
          <w:szCs w:val="32"/>
        </w:rPr>
        <w:t>负责本系统相关专业技术职称评定和职业资格管理工作，规范行业人才管理。</w:t>
      </w:r>
    </w:p>
    <w:p>
      <w:pPr>
        <w:widowControl/>
        <w:numPr>
          <w:ilvl w:val="0"/>
          <w:numId w:val="14"/>
        </w:numPr>
        <w:spacing w:before="72" w:line="20" w:lineRule="atLeast"/>
        <w:rPr>
          <w:rFonts w:ascii="仿宋" w:hAnsi="仿宋" w:eastAsia="仿宋" w:cs="仿宋"/>
          <w:sz w:val="32"/>
          <w:szCs w:val="32"/>
        </w:rPr>
      </w:pPr>
      <w:r>
        <w:rPr>
          <w:rFonts w:hint="eastAsia" w:ascii="仿宋" w:hAnsi="仿宋" w:eastAsia="仿宋" w:cs="仿宋"/>
          <w:sz w:val="32"/>
          <w:szCs w:val="32"/>
        </w:rPr>
        <w:t>负责本系统的行业统计，为行业发展提供数据支持。</w:t>
      </w:r>
    </w:p>
    <w:p>
      <w:pPr>
        <w:pStyle w:val="4"/>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(16) 承办上级交办的其他事项</w:t>
      </w:r>
    </w:p>
    <w:p>
      <w:pPr>
        <w:widowControl/>
        <w:numPr>
          <w:ilvl w:val="0"/>
          <w:numId w:val="15"/>
        </w:numPr>
        <w:spacing w:before="72" w:line="20" w:lineRule="atLeast"/>
        <w:rPr>
          <w:rFonts w:ascii="仿宋" w:hAnsi="仿宋" w:eastAsia="仿宋" w:cs="仿宋"/>
          <w:sz w:val="32"/>
          <w:szCs w:val="32"/>
        </w:rPr>
      </w:pPr>
      <w:r>
        <w:rPr>
          <w:rFonts w:hint="eastAsia" w:ascii="仿宋" w:hAnsi="仿宋" w:eastAsia="仿宋" w:cs="仿宋"/>
          <w:sz w:val="32"/>
          <w:szCs w:val="32"/>
        </w:rPr>
        <w:t>承办县委、县人民政府、县人武部、县国防动员委员会及上级主管部门交办的其他事项，确保各项任务的顺利完成。</w:t>
      </w:r>
    </w:p>
    <w:p>
      <w:pPr>
        <w:widowControl/>
        <w:spacing w:line="600" w:lineRule="exact"/>
        <w:ind w:firstLine="627" w:firstLineChars="196"/>
        <w:jc w:val="left"/>
        <w:rPr>
          <w:rFonts w:ascii="仿宋" w:hAnsi="仿宋" w:eastAsia="仿宋" w:cs="仿宋"/>
          <w:bCs/>
          <w:sz w:val="32"/>
          <w:szCs w:val="32"/>
        </w:rPr>
      </w:pP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（二）机构设置：</w:t>
      </w:r>
    </w:p>
    <w:p>
      <w:pPr>
        <w:ind w:firstLine="640" w:firstLineChars="200"/>
        <w:rPr>
          <w:rFonts w:ascii="仿宋" w:hAnsi="仿宋" w:eastAsia="仿宋" w:cs="仿宋"/>
          <w:b/>
          <w:bCs/>
          <w:sz w:val="32"/>
          <w:szCs w:val="32"/>
        </w:rPr>
      </w:pPr>
      <w:r>
        <w:rPr>
          <w:rFonts w:hint="eastAsia" w:ascii="仿宋" w:hAnsi="仿宋" w:eastAsia="仿宋" w:cs="仿宋"/>
          <w:bCs/>
          <w:kern w:val="0"/>
          <w:sz w:val="32"/>
          <w:szCs w:val="32"/>
        </w:rPr>
        <w:t>办公室、政工股、计划财务审计股、政策法规与执法稽查股、宣传教育股、行政审批股、勘察设计和建筑节能股、建筑业质量安全管理股、综合验收备案股、城市建设管理股、村镇建设管理股、住房保障股、房地产市场监管股。</w:t>
      </w:r>
    </w:p>
    <w:p>
      <w:pPr>
        <w:ind w:left="412" w:leftChars="196"/>
        <w:rPr>
          <w:rFonts w:ascii="仿宋" w:hAnsi="仿宋" w:eastAsia="仿宋" w:cs="仿宋"/>
          <w:b/>
          <w:bCs/>
          <w:sz w:val="32"/>
          <w:szCs w:val="32"/>
        </w:rPr>
      </w:pPr>
    </w:p>
    <w:p>
      <w:pPr>
        <w:numPr>
          <w:ilvl w:val="0"/>
          <w:numId w:val="16"/>
        </w:num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部门整体支出使用情况</w:t>
      </w:r>
    </w:p>
    <w:p>
      <w:pPr>
        <w:snapToGrid w:val="0"/>
        <w:spacing w:line="520" w:lineRule="exact"/>
        <w:rPr>
          <w:rFonts w:ascii="楷体_GB2312" w:hAnsi="仿宋" w:eastAsia="楷体_GB2312"/>
          <w:b/>
          <w:sz w:val="32"/>
          <w:szCs w:val="32"/>
        </w:rPr>
      </w:pPr>
      <w:r>
        <w:rPr>
          <w:rFonts w:hint="eastAsia" w:ascii="楷体_GB2312" w:hAnsi="仿宋" w:eastAsia="楷体_GB2312"/>
          <w:b/>
          <w:sz w:val="32"/>
          <w:szCs w:val="32"/>
        </w:rPr>
        <w:t xml:space="preserve"> （一）收入支出预算安排情况。</w:t>
      </w:r>
    </w:p>
    <w:p>
      <w:pPr>
        <w:pStyle w:val="9"/>
        <w:numPr>
          <w:ilvl w:val="0"/>
          <w:numId w:val="16"/>
        </w:numPr>
        <w:snapToGrid w:val="0"/>
        <w:spacing w:line="520" w:lineRule="exact"/>
        <w:ind w:firstLineChars="0"/>
        <w:rPr>
          <w:rFonts w:ascii="仿宋_GB2312" w:hAnsi="仿宋" w:eastAsia="仿宋_GB2312"/>
          <w:sz w:val="32"/>
          <w:szCs w:val="32"/>
        </w:rPr>
      </w:pPr>
      <w:r>
        <w:rPr>
          <w:rFonts w:hint="eastAsia" w:ascii="仿宋_GB2312" w:hAnsi="仿宋" w:eastAsia="仿宋_GB2312"/>
          <w:sz w:val="32"/>
          <w:szCs w:val="32"/>
        </w:rPr>
        <w:t>2025年单位收入、支出年初预算安排5833.8万元，与上年预算3986.72万元，相比增加了1847.08万元，增加原因今年把列年未付工程款及当年项目付款都列入预算了。</w:t>
      </w:r>
    </w:p>
    <w:p>
      <w:pPr>
        <w:snapToGrid w:val="0"/>
        <w:spacing w:line="520" w:lineRule="exact"/>
        <w:outlineLvl w:val="0"/>
        <w:rPr>
          <w:rFonts w:ascii="楷体_GB2312" w:hAnsi="仿宋" w:eastAsia="楷体_GB2312"/>
          <w:b/>
          <w:sz w:val="32"/>
          <w:szCs w:val="32"/>
        </w:rPr>
      </w:pPr>
      <w:r>
        <w:rPr>
          <w:rFonts w:hint="eastAsia" w:ascii="楷体_GB2312" w:hAnsi="仿宋" w:eastAsia="楷体_GB2312"/>
          <w:b/>
          <w:sz w:val="32"/>
          <w:szCs w:val="32"/>
        </w:rPr>
        <w:t>（二）收入支出预算执行情况。</w:t>
      </w:r>
    </w:p>
    <w:p>
      <w:pPr>
        <w:pStyle w:val="9"/>
        <w:numPr>
          <w:ilvl w:val="0"/>
          <w:numId w:val="16"/>
        </w:numPr>
        <w:snapToGrid w:val="0"/>
        <w:spacing w:line="520" w:lineRule="exact"/>
        <w:ind w:firstLineChars="0"/>
        <w:rPr>
          <w:rFonts w:ascii="仿宋_GB2312" w:hAnsi="仿宋" w:eastAsia="仿宋_GB2312"/>
          <w:sz w:val="32"/>
          <w:szCs w:val="32"/>
        </w:rPr>
      </w:pPr>
      <w:r>
        <w:rPr>
          <w:rFonts w:hint="eastAsia" w:ascii="仿宋_GB2312" w:hAnsi="仿宋" w:eastAsia="仿宋_GB2312"/>
          <w:sz w:val="32"/>
          <w:szCs w:val="32"/>
        </w:rPr>
        <w:t>2025年当年收入支出预算5833.8万元，决算数14218.</w:t>
      </w:r>
      <w:bookmarkStart w:id="0" w:name="_GoBack"/>
      <w:bookmarkEnd w:id="0"/>
      <w:r>
        <w:rPr>
          <w:rFonts w:hint="eastAsia" w:ascii="仿宋_GB2312" w:hAnsi="仿宋" w:eastAsia="仿宋_GB2312"/>
          <w:sz w:val="32"/>
          <w:szCs w:val="32"/>
        </w:rPr>
        <w:t>43万元，执行率143.72%，与上年度对比执行率降低了，减少变动主要原因从2025年起项目未付款预算也会一一列支执行率更准确及项目年中调整付款的减少决算数更接近预算数。</w:t>
      </w:r>
    </w:p>
    <w:p>
      <w:pPr>
        <w:pStyle w:val="9"/>
        <w:numPr>
          <w:ilvl w:val="0"/>
          <w:numId w:val="17"/>
        </w:numPr>
        <w:snapToGrid w:val="0"/>
        <w:spacing w:line="520" w:lineRule="exact"/>
        <w:ind w:firstLineChars="0"/>
        <w:rPr>
          <w:rFonts w:ascii="仿宋_GB2312" w:hAnsi="仿宋" w:eastAsia="仿宋_GB2312"/>
          <w:b/>
          <w:sz w:val="32"/>
          <w:szCs w:val="32"/>
        </w:rPr>
      </w:pPr>
      <w:r>
        <w:rPr>
          <w:rFonts w:hint="eastAsia" w:ascii="仿宋_GB2312" w:hAnsi="仿宋" w:eastAsia="仿宋_GB2312"/>
          <w:b/>
          <w:sz w:val="32"/>
          <w:szCs w:val="32"/>
        </w:rPr>
        <w:t>收入支出与预算对比分析。</w:t>
      </w:r>
    </w:p>
    <w:p>
      <w:pPr>
        <w:pStyle w:val="9"/>
        <w:snapToGrid w:val="0"/>
        <w:spacing w:line="520" w:lineRule="exact"/>
        <w:ind w:left="420" w:firstLine="0" w:firstLineChars="0"/>
        <w:rPr>
          <w:rFonts w:ascii="仿宋_GB2312" w:hAnsi="仿宋" w:eastAsia="仿宋_GB2312"/>
          <w:sz w:val="32"/>
          <w:szCs w:val="32"/>
        </w:rPr>
      </w:pPr>
      <w:r>
        <w:rPr>
          <w:rFonts w:hint="eastAsia" w:ascii="仿宋_GB2312" w:hAnsi="仿宋" w:eastAsia="仿宋_GB2312"/>
          <w:sz w:val="32"/>
          <w:szCs w:val="32"/>
        </w:rPr>
        <w:t>（1）预算收入5833.8万元、决算收入14218.43万元差异8384.63万元，一般公共预算拨款差异255.69万元，政府性基金拨款差异8128.94万元；预算支出5833.8万元、决算支出14218.43万元差异8384.63万元，一般公共预算拨款支出差异255.69万元，政府性基金拨款支出差异8128.94万元</w:t>
      </w:r>
    </w:p>
    <w:p>
      <w:pPr>
        <w:snapToGrid w:val="0"/>
        <w:spacing w:line="520" w:lineRule="exact"/>
        <w:rPr>
          <w:rFonts w:ascii="仿宋_GB2312" w:hAnsi="仿宋" w:eastAsia="仿宋_GB2312"/>
          <w:sz w:val="32"/>
          <w:szCs w:val="32"/>
        </w:rPr>
      </w:pPr>
      <w:r>
        <w:rPr>
          <w:rFonts w:hint="eastAsia" w:ascii="仿宋_GB2312" w:hAnsi="仿宋" w:eastAsia="仿宋_GB2312"/>
          <w:sz w:val="32"/>
          <w:szCs w:val="32"/>
        </w:rPr>
        <w:t xml:space="preserve">  （2）差异原因分析，</w:t>
      </w:r>
      <w:r>
        <w:rPr>
          <w:rFonts w:hint="eastAsia" w:ascii="仿宋_GB2312" w:hAnsi="仿宋_GB2312" w:eastAsia="仿宋_GB2312" w:cs="仿宋_GB2312"/>
          <w:kern w:val="0"/>
          <w:sz w:val="32"/>
          <w:szCs w:val="32"/>
        </w:rPr>
        <w:t>部门预算支出年初预算</w:t>
      </w:r>
      <w:r>
        <w:rPr>
          <w:rFonts w:hint="eastAsia" w:ascii="仿宋_GB2312" w:hAnsi="仿宋" w:eastAsia="仿宋_GB2312"/>
          <w:sz w:val="32"/>
          <w:szCs w:val="32"/>
        </w:rPr>
        <w:t>5833.8</w:t>
      </w:r>
      <w:r>
        <w:rPr>
          <w:rFonts w:hint="eastAsia" w:ascii="仿宋_GB2312" w:hAnsi="仿宋_GB2312" w:eastAsia="仿宋_GB2312" w:cs="仿宋_GB2312"/>
          <w:kern w:val="0"/>
          <w:sz w:val="32"/>
          <w:szCs w:val="32"/>
        </w:rPr>
        <w:t>万元，年中增加预算支出</w:t>
      </w:r>
      <w:r>
        <w:rPr>
          <w:rFonts w:hint="eastAsia" w:ascii="仿宋_GB2312" w:hAnsi="仿宋" w:eastAsia="仿宋_GB2312"/>
          <w:sz w:val="32"/>
          <w:szCs w:val="32"/>
        </w:rPr>
        <w:t>14218.43</w:t>
      </w:r>
      <w:r>
        <w:rPr>
          <w:rFonts w:hint="eastAsia" w:ascii="仿宋_GB2312" w:hAnsi="仿宋_GB2312" w:eastAsia="仿宋_GB2312" w:cs="仿宋_GB2312"/>
          <w:kern w:val="0"/>
          <w:sz w:val="32"/>
          <w:szCs w:val="32"/>
        </w:rPr>
        <w:t>万元，年中增加的项目有上级专项拨款预算为列支，有列年项目欠款打报告增拨款，导致决算数远远大于预算数。</w:t>
      </w:r>
    </w:p>
    <w:p>
      <w:pPr>
        <w:ind w:left="-8"/>
        <w:rPr>
          <w:rFonts w:ascii="仿宋" w:hAnsi="仿宋" w:eastAsia="仿宋" w:cs="仿宋"/>
          <w:sz w:val="32"/>
          <w:szCs w:val="32"/>
        </w:rPr>
      </w:pPr>
      <w:r>
        <w:rPr>
          <w:rFonts w:hint="eastAsia" w:ascii="仿宋" w:hAnsi="仿宋" w:eastAsia="仿宋" w:cs="仿宋"/>
          <w:b/>
          <w:sz w:val="32"/>
          <w:szCs w:val="32"/>
        </w:rPr>
        <w:t>（四）</w:t>
      </w:r>
      <w:r>
        <w:rPr>
          <w:rFonts w:hint="eastAsia" w:ascii="仿宋" w:hAnsi="仿宋" w:eastAsia="仿宋" w:cs="仿宋"/>
          <w:sz w:val="32"/>
          <w:szCs w:val="32"/>
        </w:rPr>
        <w:t>专项资金支出专项资金支出13034.28万元(其中：农村危房改造经费8.05万元，文体中心大剧院精装修设计费18.27万元，中国传统村落申报36.4万元，道</w:t>
      </w:r>
      <w:r>
        <w:rPr>
          <w:rFonts w:ascii="仿宋" w:hAnsi="仿宋" w:eastAsia="仿宋" w:cs="仿宋"/>
          <w:sz w:val="32"/>
          <w:szCs w:val="32"/>
        </w:rPr>
        <w:t>县工业园控制性详细规划编制项目</w:t>
      </w:r>
      <w:r>
        <w:rPr>
          <w:rFonts w:hint="eastAsia" w:ascii="仿宋" w:hAnsi="仿宋" w:eastAsia="仿宋" w:cs="仿宋"/>
          <w:sz w:val="32"/>
          <w:szCs w:val="32"/>
        </w:rPr>
        <w:t>27.24万元，施工图审查费24.8万元，荷叶塘电力管道市政工程11.22万元，</w:t>
      </w:r>
      <w:r>
        <w:rPr>
          <w:rFonts w:ascii="仿宋" w:hAnsi="仿宋" w:eastAsia="仿宋" w:cs="仿宋"/>
          <w:sz w:val="32"/>
          <w:szCs w:val="32"/>
        </w:rPr>
        <w:t>道县火车站片区城市设计和策划项目设计费</w:t>
      </w:r>
      <w:r>
        <w:rPr>
          <w:rFonts w:hint="eastAsia" w:ascii="仿宋" w:hAnsi="仿宋" w:eastAsia="仿宋" w:cs="仿宋"/>
          <w:sz w:val="32"/>
          <w:szCs w:val="32"/>
        </w:rPr>
        <w:t>28.39万元，村庄规划设计费74.96万元，农村建筑工匠培训费20.8万元，</w:t>
      </w:r>
      <w:r>
        <w:rPr>
          <w:rFonts w:ascii="仿宋" w:hAnsi="仿宋" w:eastAsia="仿宋" w:cs="仿宋"/>
          <w:sz w:val="32"/>
          <w:szCs w:val="32"/>
        </w:rPr>
        <w:t>道县村庄规划测绘</w:t>
      </w:r>
      <w:r>
        <w:rPr>
          <w:rFonts w:hint="eastAsia" w:ascii="仿宋" w:hAnsi="仿宋" w:eastAsia="仿宋" w:cs="仿宋"/>
          <w:sz w:val="32"/>
          <w:szCs w:val="32"/>
        </w:rPr>
        <w:t>17.59万元，道县老旧小区改造指挥部工作经费3.3万元，道县老旧小区改造项目前期费用80.41万元，道县老旧小区改造项目工程款3847.8万元，潇水北路南段安置区土石方工程246.18万元，潇水北路北段工程106.87万元，建筑工地控制管理网络化监管平台项目15.5万元，</w:t>
      </w:r>
      <w:r>
        <w:rPr>
          <w:rFonts w:ascii="仿宋" w:hAnsi="仿宋" w:eastAsia="仿宋" w:cs="仿宋"/>
          <w:sz w:val="32"/>
          <w:szCs w:val="32"/>
        </w:rPr>
        <w:t>逸品潇湘10KV电力杆线迁移电缆沟土建工程</w:t>
      </w:r>
      <w:r>
        <w:rPr>
          <w:rFonts w:hint="eastAsia" w:ascii="仿宋" w:hAnsi="仿宋" w:eastAsia="仿宋" w:cs="仿宋"/>
          <w:sz w:val="32"/>
          <w:szCs w:val="32"/>
        </w:rPr>
        <w:t>24万元，振兴西路征地拆迁安置土石方工程61.3万元，城北历史文化名城片区指挥部经费115.69万元，全国自然灾害综合风险普查15万元，城区社会停车场建设项目一期1480万元，城市危旧房摸底调查和整治专项25.33万元，</w:t>
      </w:r>
      <w:r>
        <w:rPr>
          <w:rFonts w:ascii="仿宋" w:hAnsi="仿宋" w:eastAsia="仿宋" w:cs="仿宋"/>
          <w:sz w:val="32"/>
          <w:szCs w:val="32"/>
        </w:rPr>
        <w:t>滨河路三段道路建设项目一期</w:t>
      </w:r>
      <w:r>
        <w:rPr>
          <w:rFonts w:hint="eastAsia" w:ascii="仿宋" w:hAnsi="仿宋" w:eastAsia="仿宋" w:cs="仿宋"/>
          <w:sz w:val="32"/>
          <w:szCs w:val="32"/>
        </w:rPr>
        <w:t>157.29万元，</w:t>
      </w:r>
      <w:r>
        <w:rPr>
          <w:rFonts w:ascii="仿宋" w:hAnsi="仿宋" w:eastAsia="仿宋" w:cs="仿宋"/>
          <w:sz w:val="32"/>
          <w:szCs w:val="32"/>
        </w:rPr>
        <w:t>湘</w:t>
      </w:r>
      <w:r>
        <w:rPr>
          <w:rFonts w:hint="eastAsia" w:ascii="仿宋" w:hAnsi="仿宋" w:eastAsia="仿宋" w:cs="仿宋"/>
          <w:sz w:val="32"/>
          <w:szCs w:val="32"/>
        </w:rPr>
        <w:t>粤</w:t>
      </w:r>
      <w:r>
        <w:rPr>
          <w:rFonts w:ascii="仿宋" w:hAnsi="仿宋" w:eastAsia="仿宋" w:cs="仿宋"/>
          <w:sz w:val="32"/>
          <w:szCs w:val="32"/>
        </w:rPr>
        <w:t>桂城南物流园安置区及附属配套基础设施工</w:t>
      </w:r>
      <w:r>
        <w:rPr>
          <w:rFonts w:hint="eastAsia" w:ascii="仿宋" w:hAnsi="仿宋" w:eastAsia="仿宋" w:cs="仿宋"/>
          <w:sz w:val="32"/>
          <w:szCs w:val="32"/>
        </w:rPr>
        <w:t>程149.72万元，</w:t>
      </w:r>
      <w:r>
        <w:rPr>
          <w:rFonts w:ascii="仿宋" w:hAnsi="仿宋" w:eastAsia="仿宋" w:cs="仿宋"/>
          <w:sz w:val="32"/>
          <w:szCs w:val="32"/>
        </w:rPr>
        <w:t>城乡水务一体化建设PPP项目</w:t>
      </w:r>
      <w:r>
        <w:rPr>
          <w:rFonts w:hint="eastAsia" w:ascii="仿宋" w:hAnsi="仿宋" w:eastAsia="仿宋" w:cs="仿宋"/>
          <w:sz w:val="32"/>
          <w:szCs w:val="32"/>
        </w:rPr>
        <w:t>1010.6万元，</w:t>
      </w:r>
      <w:r>
        <w:rPr>
          <w:rFonts w:ascii="仿宋" w:hAnsi="仿宋" w:eastAsia="仿宋" w:cs="仿宋"/>
          <w:sz w:val="32"/>
          <w:szCs w:val="32"/>
        </w:rPr>
        <w:t>城东新区停车场建设项目设计费</w:t>
      </w:r>
      <w:r>
        <w:rPr>
          <w:rFonts w:hint="eastAsia" w:ascii="仿宋" w:hAnsi="仿宋" w:eastAsia="仿宋" w:cs="仿宋"/>
          <w:sz w:val="32"/>
          <w:szCs w:val="32"/>
        </w:rPr>
        <w:t>3742.8万元，</w:t>
      </w:r>
      <w:r>
        <w:rPr>
          <w:rFonts w:ascii="仿宋" w:hAnsi="仿宋" w:eastAsia="仿宋" w:cs="仿宋"/>
          <w:sz w:val="32"/>
          <w:szCs w:val="32"/>
        </w:rPr>
        <w:t>政务窗口第</w:t>
      </w:r>
      <w:r>
        <w:rPr>
          <w:rFonts w:hint="eastAsia" w:ascii="仿宋" w:hAnsi="仿宋" w:eastAsia="仿宋" w:cs="仿宋"/>
          <w:sz w:val="32"/>
          <w:szCs w:val="32"/>
        </w:rPr>
        <w:t>工作经费9.92万元，预售资金监管及网签备案13.6万元，设计院设计费拨款49.82万元，拨质监站经费112.39万元，农村危房改造资金260.49万元，其他专项资金支出1238.55万元。</w:t>
      </w:r>
    </w:p>
    <w:p>
      <w:pPr>
        <w:ind w:firstLine="600"/>
        <w:rPr>
          <w:rFonts w:ascii="仿宋" w:hAnsi="仿宋" w:eastAsia="仿宋" w:cs="仿宋"/>
          <w:sz w:val="32"/>
          <w:szCs w:val="32"/>
        </w:rPr>
      </w:pPr>
      <w:r>
        <w:rPr>
          <w:rFonts w:hint="eastAsia" w:ascii="仿宋" w:hAnsi="仿宋" w:eastAsia="仿宋" w:cs="仿宋"/>
          <w:sz w:val="32"/>
          <w:szCs w:val="32"/>
        </w:rPr>
        <w:t>三公经费使用情况：</w:t>
      </w:r>
    </w:p>
    <w:p>
      <w:pPr>
        <w:ind w:firstLine="600"/>
        <w:rPr>
          <w:rFonts w:ascii="仿宋" w:hAnsi="仿宋" w:eastAsia="仿宋" w:cs="仿宋"/>
          <w:sz w:val="32"/>
          <w:szCs w:val="32"/>
        </w:rPr>
      </w:pPr>
      <w:r>
        <w:rPr>
          <w:rFonts w:hint="eastAsia" w:ascii="仿宋" w:hAnsi="仿宋" w:eastAsia="仿宋" w:cs="仿宋"/>
          <w:sz w:val="32"/>
          <w:szCs w:val="32"/>
        </w:rPr>
        <w:t>公务接待2025年预算安排0万元，年末公务接待支出0万元。</w:t>
      </w:r>
    </w:p>
    <w:p>
      <w:pPr>
        <w:ind w:firstLine="600"/>
        <w:rPr>
          <w:rFonts w:ascii="仿宋" w:hAnsi="仿宋" w:eastAsia="仿宋" w:cs="仿宋"/>
          <w:sz w:val="32"/>
          <w:szCs w:val="32"/>
        </w:rPr>
      </w:pPr>
      <w:r>
        <w:rPr>
          <w:rFonts w:hint="eastAsia" w:ascii="仿宋" w:hAnsi="仿宋" w:eastAsia="仿宋" w:cs="仿宋"/>
          <w:sz w:val="32"/>
          <w:szCs w:val="32"/>
        </w:rPr>
        <w:t>单位公车1台但未使用，公务用车运行维护费预算安排0万元，年末公务用车运行维护费支出0万元。</w:t>
      </w:r>
    </w:p>
    <w:p>
      <w:p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三、部门整体支出管理情况</w:t>
      </w:r>
    </w:p>
    <w:p>
      <w:pPr>
        <w:ind w:firstLine="600"/>
        <w:rPr>
          <w:rFonts w:ascii="仿宋" w:hAnsi="仿宋" w:eastAsia="仿宋" w:cs="仿宋"/>
          <w:sz w:val="32"/>
          <w:szCs w:val="32"/>
        </w:rPr>
      </w:pPr>
      <w:r>
        <w:rPr>
          <w:rFonts w:hint="eastAsia" w:ascii="仿宋" w:hAnsi="仿宋" w:eastAsia="仿宋" w:cs="仿宋"/>
          <w:sz w:val="32"/>
          <w:szCs w:val="32"/>
        </w:rPr>
        <w:t>住建局财务管理严格依法依规，做到公开公平公正，严格执行各项有关法律法规、财经纪律、财务规章制度。</w:t>
      </w:r>
    </w:p>
    <w:p>
      <w:pPr>
        <w:numPr>
          <w:ilvl w:val="0"/>
          <w:numId w:val="18"/>
        </w:num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部门整体支出绩效情况</w:t>
      </w:r>
    </w:p>
    <w:p>
      <w:pPr>
        <w:ind w:firstLine="600"/>
        <w:rPr>
          <w:rFonts w:ascii="仿宋_GB2312" w:hAnsi="新宋体" w:eastAsia="仿宋_GB2312"/>
          <w:sz w:val="32"/>
          <w:szCs w:val="32"/>
        </w:rPr>
      </w:pPr>
      <w:r>
        <w:rPr>
          <w:rFonts w:hint="eastAsia" w:ascii="仿宋_GB2312" w:hAnsi="新宋体" w:eastAsia="仿宋_GB2312"/>
          <w:sz w:val="32"/>
          <w:szCs w:val="32"/>
        </w:rPr>
        <w:t>1、2025年道县住建局综合工作获永州市住建系统先进；2025年道县保交楼和保交房、建设项目开工“一件事”办理、城建档案管理等3项工作获永州市季度第一；2025年道县城镇化率达到53.06%，增幅排永州市第一名。</w:t>
      </w:r>
    </w:p>
    <w:p>
      <w:pPr>
        <w:ind w:firstLine="600"/>
        <w:rPr>
          <w:rFonts w:ascii="仿宋" w:hAnsi="仿宋" w:eastAsia="仿宋" w:cs="仿宋"/>
          <w:sz w:val="32"/>
          <w:szCs w:val="32"/>
        </w:rPr>
      </w:pPr>
      <w:r>
        <w:rPr>
          <w:rFonts w:hint="eastAsia" w:ascii="仿宋" w:hAnsi="仿宋" w:eastAsia="仿宋" w:cs="仿宋"/>
          <w:sz w:val="32"/>
          <w:szCs w:val="32"/>
        </w:rPr>
        <w:t>2、</w:t>
      </w:r>
      <w:r>
        <w:rPr>
          <w:rFonts w:hint="eastAsia" w:ascii="仿宋_GB2312" w:hAnsi="新宋体" w:eastAsia="仿宋_GB2312"/>
          <w:sz w:val="32"/>
          <w:szCs w:val="32"/>
        </w:rPr>
        <w:t>开展在线项目安全生产排查整治：全年累计督促86家企业开展自查，自查自纠隐患265个，组织开展监督检查11次；推进自建房安全整治工作：累计对全县20个乡镇（街道）226座自建房情况进行了检查，发现乡镇(街道)自建房存在438个隐患问题，完成全县122户C/D级闲置房、空心房整治；推进城镇危旧房和自建房安全排查：完成经营性自建房6297栋隐患排查“回头看”，排查全县7000余栋既有建筑，初查150余栋存在隐患，对存在安全隐患的房屋，组织专业技术人员逐栋进行现场隐患核定。</w:t>
      </w:r>
    </w:p>
    <w:p>
      <w:pPr>
        <w:ind w:firstLine="600"/>
        <w:rPr>
          <w:rFonts w:ascii="仿宋_GB2312" w:hAnsi="仿宋_GB2312" w:eastAsia="仿宋_GB2312" w:cs="仿宋_GB2312"/>
          <w:sz w:val="32"/>
          <w:szCs w:val="32"/>
        </w:rPr>
      </w:pPr>
      <w:r>
        <w:rPr>
          <w:rFonts w:hint="eastAsia" w:ascii="仿宋" w:hAnsi="仿宋" w:eastAsia="仿宋" w:cs="仿宋"/>
          <w:sz w:val="32"/>
          <w:szCs w:val="32"/>
        </w:rPr>
        <w:t>3、</w:t>
      </w:r>
      <w:r>
        <w:rPr>
          <w:rFonts w:hint="eastAsia" w:ascii="仿宋_GB2312" w:hAnsi="仿宋_GB2312" w:eastAsia="仿宋_GB2312" w:cs="仿宋_GB2312"/>
          <w:sz w:val="32"/>
          <w:szCs w:val="32"/>
        </w:rPr>
        <w:t>今年我县完成224年实施40个老旧小区的改造任务，总投资约2300万元，今年又启动建设了8个小旧小区改造项目及完成滨河路三段市政道路建设。</w:t>
      </w:r>
    </w:p>
    <w:p>
      <w:pPr>
        <w:ind w:firstLine="600"/>
        <w:rPr>
          <w:rFonts w:ascii="仿宋_GB2312" w:hAnsi="仿宋_GB2312" w:eastAsia="仿宋_GB2312" w:cs="仿宋_GB2312"/>
          <w:sz w:val="32"/>
          <w:szCs w:val="32"/>
        </w:rPr>
      </w:pPr>
      <w:r>
        <w:rPr>
          <w:rFonts w:hint="eastAsia" w:ascii="仿宋" w:hAnsi="仿宋" w:eastAsia="仿宋" w:cs="仿宋"/>
          <w:sz w:val="32"/>
          <w:szCs w:val="32"/>
        </w:rPr>
        <w:t>4、</w:t>
      </w:r>
      <w:r>
        <w:rPr>
          <w:rFonts w:hint="eastAsia" w:ascii="仿宋_GB2312" w:hAnsi="仿宋_GB2312" w:eastAsia="仿宋_GB2312" w:cs="仿宋_GB2312"/>
          <w:bCs/>
          <w:sz w:val="32"/>
          <w:szCs w:val="32"/>
        </w:rPr>
        <w:t>推进城北片区城市更新改造项目。</w:t>
      </w:r>
      <w:r>
        <w:rPr>
          <w:rFonts w:hint="eastAsia" w:ascii="仿宋_GB2312" w:hAnsi="仿宋_GB2312" w:eastAsia="仿宋_GB2312" w:cs="仿宋_GB2312"/>
          <w:sz w:val="32"/>
          <w:szCs w:val="32"/>
        </w:rPr>
        <w:t>项目一期为湾里、寇公历史街区基础设施改造及拉通城墙跑马道。主要建设内容为：湾里街、寇公街历史文化街区内街道、巷道恢复、给排水、强弱电下地、燃气管道、消防、绿化、亮化、公厕、停车场（位）、总长约1000米古城墙跑马道及城墙垛恢复。</w:t>
      </w:r>
    </w:p>
    <w:p>
      <w:pPr>
        <w:ind w:firstLine="600"/>
        <w:rPr>
          <w:rFonts w:ascii="仿宋_GB2312" w:hAnsi="仿宋_GB2312" w:eastAsia="仿宋_GB2312" w:cs="仿宋_GB2312"/>
          <w:sz w:val="32"/>
          <w:szCs w:val="32"/>
        </w:rPr>
      </w:pPr>
      <w:r>
        <w:rPr>
          <w:rFonts w:hint="eastAsia" w:ascii="仿宋" w:hAnsi="仿宋" w:eastAsia="仿宋" w:cs="仿宋"/>
          <w:sz w:val="32"/>
          <w:szCs w:val="32"/>
        </w:rPr>
        <w:t>5、</w:t>
      </w:r>
      <w:r>
        <w:rPr>
          <w:rFonts w:hint="eastAsia" w:ascii="仿宋_GB2312" w:hAnsi="仿宋_GB2312" w:eastAsia="仿宋_GB2312" w:cs="仿宋_GB2312"/>
          <w:bCs/>
          <w:sz w:val="32"/>
          <w:szCs w:val="32"/>
        </w:rPr>
        <w:t>积极争取专项债券获取资金支持</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完成了道县老旧小区停车位加装充电桩建设项目等4个项目专项债的建设项目，累计争取中央预算内资金4604万元，发行专项债6100万元。</w:t>
      </w:r>
    </w:p>
    <w:p>
      <w:pPr>
        <w:ind w:firstLine="6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6、办理房地产预售许可证12本，商品房网签合同备案1665套，升级房地产管理系统，实现了网签即备案，无纸质化办理；核发建筑工程施工许可证19本，办理起重机产权备案登记4份，完成万和城东学府等7个项目的消防验收、新时代广场等16个项目的消防验收备案。征收城市基础设施配套费807.3元</w:t>
      </w:r>
      <w:r>
        <w:rPr>
          <w:rFonts w:hint="eastAsia" w:ascii="仿宋_GB2312" w:hAnsi="黑体" w:eastAsia="仿宋_GB2312"/>
          <w:sz w:val="32"/>
          <w:szCs w:val="32"/>
        </w:rPr>
        <w:t>，</w:t>
      </w:r>
      <w:r>
        <w:rPr>
          <w:rFonts w:hint="eastAsia" w:ascii="仿宋_GB2312" w:hAnsi="仿宋_GB2312" w:eastAsia="仿宋_GB2312" w:cs="仿宋_GB2312"/>
          <w:kern w:val="0"/>
          <w:sz w:val="32"/>
          <w:szCs w:val="32"/>
        </w:rPr>
        <w:t>4个乡镇污水处理厂投入试运行。</w:t>
      </w:r>
    </w:p>
    <w:p>
      <w:pPr>
        <w:ind w:firstLine="6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7，</w:t>
      </w:r>
      <w:r>
        <w:rPr>
          <w:rFonts w:hint="eastAsia" w:ascii="仿宋_GB2312" w:hAnsi="仿宋_GB2312" w:eastAsia="仿宋_GB2312" w:cs="仿宋_GB2312"/>
          <w:sz w:val="32"/>
          <w:szCs w:val="32"/>
        </w:rPr>
        <w:t>农村危房改造66户均完成建设。</w:t>
      </w:r>
    </w:p>
    <w:p>
      <w:p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五、结合《部门整体支出绩效评价指标表》（见附件）的评价结果：93分,财政支出绩效为“优”</w:t>
      </w:r>
    </w:p>
    <w:p>
      <w:p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六、存在的主要问题</w:t>
      </w:r>
    </w:p>
    <w:p>
      <w:pPr>
        <w:pStyle w:val="4"/>
        <w:widowControl/>
        <w:spacing w:line="560" w:lineRule="atLeast"/>
        <w:ind w:firstLine="566"/>
        <w:rPr>
          <w:rFonts w:ascii="仿宋" w:hAnsi="仿宋" w:eastAsia="仿宋" w:cs="仿宋"/>
          <w:kern w:val="2"/>
          <w:sz w:val="32"/>
          <w:szCs w:val="32"/>
        </w:rPr>
      </w:pPr>
      <w:r>
        <w:rPr>
          <w:rFonts w:hint="eastAsia" w:ascii="仿宋" w:hAnsi="仿宋" w:eastAsia="仿宋" w:cs="仿宋"/>
          <w:kern w:val="2"/>
          <w:sz w:val="32"/>
          <w:szCs w:val="32"/>
        </w:rPr>
        <w:t>存在的问题：相关管理制度还有待进一步完善。</w:t>
      </w:r>
    </w:p>
    <w:p>
      <w:pPr>
        <w:numPr>
          <w:ilvl w:val="0"/>
          <w:numId w:val="19"/>
        </w:numPr>
        <w:adjustRightInd w:val="0"/>
        <w:snapToGrid w:val="0"/>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改进措施和有关建议</w:t>
      </w:r>
    </w:p>
    <w:p>
      <w:pPr>
        <w:adjustRightInd w:val="0"/>
        <w:snapToGrid w:val="0"/>
        <w:spacing w:line="600" w:lineRule="exact"/>
        <w:ind w:firstLine="420"/>
        <w:rPr>
          <w:rFonts w:ascii="仿宋" w:hAnsi="仿宋" w:eastAsia="仿宋" w:cs="仿宋"/>
          <w:sz w:val="32"/>
          <w:szCs w:val="32"/>
        </w:rPr>
      </w:pPr>
      <w:r>
        <w:rPr>
          <w:rFonts w:hint="eastAsia" w:ascii="仿宋" w:hAnsi="仿宋" w:eastAsia="仿宋" w:cs="仿宋"/>
          <w:sz w:val="32"/>
          <w:szCs w:val="32"/>
        </w:rPr>
        <w:t>建议加强队伍建设，提升绩效评价管理能力，建立长期机制，以进一步优化财政支出绩效</w:t>
      </w:r>
    </w:p>
    <w:sectPr>
      <w:headerReference r:id="rId3" w:type="default"/>
      <w:footerReference r:id="rId4" w:type="default"/>
      <w:footerReference r:id="rId5" w:type="even"/>
      <w:pgSz w:w="11905" w:h="16837"/>
      <w:pgMar w:top="1418" w:right="1588" w:bottom="1418" w:left="1588" w:header="720" w:footer="1701" w:gutter="0"/>
      <w:pgNumType w:start="1"/>
      <w:cols w:space="720" w:num="1"/>
      <w:titlePg/>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280" w:firstLine="360"/>
      <w:jc w:val="right"/>
      <w:rPr>
        <w:rFonts w:ascii="宋体" w:hAnsi="宋体"/>
        <w:sz w:val="28"/>
        <w:szCs w:val="28"/>
      </w:rPr>
    </w:pPr>
    <w:r>
      <w:rPr>
        <w:rStyle w:val="8"/>
        <w:rFonts w:hint="eastAsia" w:ascii="宋体" w:hAnsi="宋体"/>
        <w:sz w:val="28"/>
        <w:szCs w:val="28"/>
      </w:rPr>
      <w:t>—</w:t>
    </w: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rPr>
      <w:t>8</w:t>
    </w:r>
    <w:r>
      <w:rPr>
        <w:rFonts w:ascii="宋体" w:hAnsi="宋体"/>
        <w:sz w:val="28"/>
        <w:szCs w:val="28"/>
      </w:rPr>
      <w:fldChar w:fldCharType="end"/>
    </w:r>
    <w:r>
      <w:rPr>
        <w:rStyle w:val="8"/>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280" w:firstLineChars="100"/>
      <w:rPr>
        <w:rFonts w:ascii="宋体" w:hAnsi="宋体"/>
        <w:sz w:val="28"/>
        <w:szCs w:val="28"/>
      </w:rPr>
    </w:pPr>
    <w:r>
      <w:rPr>
        <w:rStyle w:val="8"/>
        <w:rFonts w:hint="eastAsia" w:ascii="宋体" w:hAnsi="宋体"/>
        <w:sz w:val="28"/>
        <w:szCs w:val="28"/>
      </w:rPr>
      <w:t>—</w:t>
    </w: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rPr>
      <w:t>2</w:t>
    </w:r>
    <w:r>
      <w:rPr>
        <w:rFonts w:ascii="宋体" w:hAnsi="宋体"/>
        <w:sz w:val="28"/>
        <w:szCs w:val="28"/>
      </w:rPr>
      <w:fldChar w:fldCharType="end"/>
    </w:r>
    <w:r>
      <w:rPr>
        <w:rStyle w:val="8"/>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C1C47"/>
    <w:multiLevelType w:val="multilevel"/>
    <w:tmpl w:val="A1AC1C47"/>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B5D96B1A"/>
    <w:multiLevelType w:val="multilevel"/>
    <w:tmpl w:val="B5D96B1A"/>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D479BEEE"/>
    <w:multiLevelType w:val="multilevel"/>
    <w:tmpl w:val="D479BEEE"/>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DEB2181A"/>
    <w:multiLevelType w:val="multilevel"/>
    <w:tmpl w:val="DEB2181A"/>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E1F19E7E"/>
    <w:multiLevelType w:val="multilevel"/>
    <w:tmpl w:val="E1F19E7E"/>
    <w:lvl w:ilvl="0" w:tentative="0">
      <w:start w:val="1"/>
      <w:numFmt w:val="bullet"/>
      <w:suff w:val="nothing"/>
      <w:lvlText w:val=""/>
      <w:lvlJc w:val="left"/>
      <w:pPr>
        <w:ind w:left="557" w:hanging="103"/>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03755535"/>
    <w:multiLevelType w:val="multilevel"/>
    <w:tmpl w:val="03755535"/>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170FD196"/>
    <w:multiLevelType w:val="singleLevel"/>
    <w:tmpl w:val="170FD196"/>
    <w:lvl w:ilvl="0" w:tentative="0">
      <w:start w:val="7"/>
      <w:numFmt w:val="chineseCounting"/>
      <w:suff w:val="nothing"/>
      <w:lvlText w:val="%1、"/>
      <w:lvlJc w:val="left"/>
      <w:rPr>
        <w:rFonts w:hint="eastAsia"/>
      </w:rPr>
    </w:lvl>
  </w:abstractNum>
  <w:abstractNum w:abstractNumId="7">
    <w:nsid w:val="2D3DFF40"/>
    <w:multiLevelType w:val="multilevel"/>
    <w:tmpl w:val="2D3DFF4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4140AA3E"/>
    <w:multiLevelType w:val="multilevel"/>
    <w:tmpl w:val="4140AA3E"/>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41A87260"/>
    <w:multiLevelType w:val="multilevel"/>
    <w:tmpl w:val="41A87260"/>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46FC348B"/>
    <w:multiLevelType w:val="multilevel"/>
    <w:tmpl w:val="46FC348B"/>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49452939"/>
    <w:multiLevelType w:val="multilevel"/>
    <w:tmpl w:val="49452939"/>
    <w:lvl w:ilvl="0" w:tentative="0">
      <w:start w:val="3"/>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9700D1E"/>
    <w:multiLevelType w:val="singleLevel"/>
    <w:tmpl w:val="49700D1E"/>
    <w:lvl w:ilvl="0" w:tentative="0">
      <w:start w:val="2"/>
      <w:numFmt w:val="chineseCounting"/>
      <w:suff w:val="nothing"/>
      <w:lvlText w:val="%1、"/>
      <w:lvlJc w:val="left"/>
      <w:rPr>
        <w:rFonts w:hint="eastAsia"/>
        <w:lang w:val="en-US"/>
      </w:rPr>
    </w:lvl>
  </w:abstractNum>
  <w:abstractNum w:abstractNumId="13">
    <w:nsid w:val="4B112DDF"/>
    <w:multiLevelType w:val="multilevel"/>
    <w:tmpl w:val="4B112DDF"/>
    <w:lvl w:ilvl="0" w:tentative="0">
      <w:start w:val="1"/>
      <w:numFmt w:val="bullet"/>
      <w:lvlText w:val=""/>
      <w:lvlJc w:val="left"/>
      <w:pPr>
        <w:tabs>
          <w:tab w:val="left" w:pos="567"/>
        </w:tabs>
        <w:ind w:left="577" w:hanging="266"/>
      </w:pPr>
      <w:rPr>
        <w:rFonts w:hint="default" w:ascii="Symbol" w:hAnsi="Symbol" w:cs="Symbol"/>
        <w:sz w:val="20"/>
      </w:rPr>
    </w:lvl>
    <w:lvl w:ilvl="1" w:tentative="0">
      <w:start w:val="1"/>
      <w:numFmt w:val="bullet"/>
      <w:lvlText w:val=""/>
      <w:lvlJc w:val="left"/>
      <w:pPr>
        <w:tabs>
          <w:tab w:val="left" w:pos="1440"/>
        </w:tabs>
        <w:ind w:left="1297" w:hanging="360"/>
      </w:pPr>
      <w:rPr>
        <w:rFonts w:hint="default" w:ascii="Symbol" w:hAnsi="Symbol" w:cs="Symbol"/>
        <w:sz w:val="20"/>
      </w:rPr>
    </w:lvl>
    <w:lvl w:ilvl="2" w:tentative="0">
      <w:start w:val="1"/>
      <w:numFmt w:val="bullet"/>
      <w:lvlText w:val=""/>
      <w:lvlJc w:val="left"/>
      <w:pPr>
        <w:tabs>
          <w:tab w:val="left" w:pos="2160"/>
        </w:tabs>
        <w:ind w:left="2017" w:hanging="360"/>
      </w:pPr>
      <w:rPr>
        <w:rFonts w:hint="default" w:ascii="Symbol" w:hAnsi="Symbol" w:cs="Symbol"/>
        <w:sz w:val="20"/>
      </w:rPr>
    </w:lvl>
    <w:lvl w:ilvl="3" w:tentative="0">
      <w:start w:val="1"/>
      <w:numFmt w:val="bullet"/>
      <w:lvlText w:val=""/>
      <w:lvlJc w:val="left"/>
      <w:pPr>
        <w:tabs>
          <w:tab w:val="left" w:pos="2880"/>
        </w:tabs>
        <w:ind w:left="2737" w:hanging="360"/>
      </w:pPr>
      <w:rPr>
        <w:rFonts w:hint="default" w:ascii="Symbol" w:hAnsi="Symbol" w:cs="Symbol"/>
        <w:sz w:val="20"/>
      </w:rPr>
    </w:lvl>
    <w:lvl w:ilvl="4" w:tentative="0">
      <w:start w:val="1"/>
      <w:numFmt w:val="bullet"/>
      <w:lvlText w:val=""/>
      <w:lvlJc w:val="left"/>
      <w:pPr>
        <w:tabs>
          <w:tab w:val="left" w:pos="3600"/>
        </w:tabs>
        <w:ind w:left="3457" w:hanging="360"/>
      </w:pPr>
      <w:rPr>
        <w:rFonts w:hint="default" w:ascii="Symbol" w:hAnsi="Symbol" w:cs="Symbol"/>
        <w:sz w:val="20"/>
      </w:rPr>
    </w:lvl>
    <w:lvl w:ilvl="5" w:tentative="0">
      <w:start w:val="1"/>
      <w:numFmt w:val="bullet"/>
      <w:lvlText w:val=""/>
      <w:lvlJc w:val="left"/>
      <w:pPr>
        <w:tabs>
          <w:tab w:val="left" w:pos="4320"/>
        </w:tabs>
        <w:ind w:left="4177" w:hanging="360"/>
      </w:pPr>
      <w:rPr>
        <w:rFonts w:hint="default" w:ascii="Symbol" w:hAnsi="Symbol" w:cs="Symbol"/>
        <w:sz w:val="20"/>
      </w:rPr>
    </w:lvl>
    <w:lvl w:ilvl="6" w:tentative="0">
      <w:start w:val="1"/>
      <w:numFmt w:val="bullet"/>
      <w:lvlText w:val=""/>
      <w:lvlJc w:val="left"/>
      <w:pPr>
        <w:tabs>
          <w:tab w:val="left" w:pos="5040"/>
        </w:tabs>
        <w:ind w:left="4897" w:hanging="360"/>
      </w:pPr>
      <w:rPr>
        <w:rFonts w:hint="default" w:ascii="Symbol" w:hAnsi="Symbol" w:cs="Symbol"/>
        <w:sz w:val="20"/>
      </w:rPr>
    </w:lvl>
    <w:lvl w:ilvl="7" w:tentative="0">
      <w:start w:val="1"/>
      <w:numFmt w:val="bullet"/>
      <w:lvlText w:val=""/>
      <w:lvlJc w:val="left"/>
      <w:pPr>
        <w:tabs>
          <w:tab w:val="left" w:pos="5760"/>
        </w:tabs>
        <w:ind w:left="5617" w:hanging="360"/>
      </w:pPr>
      <w:rPr>
        <w:rFonts w:hint="default" w:ascii="Symbol" w:hAnsi="Symbol" w:cs="Symbol"/>
        <w:sz w:val="20"/>
      </w:rPr>
    </w:lvl>
    <w:lvl w:ilvl="8" w:tentative="0">
      <w:start w:val="1"/>
      <w:numFmt w:val="bullet"/>
      <w:lvlText w:val=""/>
      <w:lvlJc w:val="left"/>
      <w:pPr>
        <w:tabs>
          <w:tab w:val="left" w:pos="6480"/>
        </w:tabs>
        <w:ind w:left="6337" w:hanging="360"/>
      </w:pPr>
      <w:rPr>
        <w:rFonts w:hint="default" w:ascii="Symbol" w:hAnsi="Symbol" w:cs="Symbol"/>
        <w:sz w:val="20"/>
      </w:rPr>
    </w:lvl>
  </w:abstractNum>
  <w:abstractNum w:abstractNumId="14">
    <w:nsid w:val="4BEE7CA3"/>
    <w:multiLevelType w:val="multilevel"/>
    <w:tmpl w:val="4BEE7CA3"/>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5">
    <w:nsid w:val="4D7DD575"/>
    <w:multiLevelType w:val="multilevel"/>
    <w:tmpl w:val="4D7DD575"/>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6">
    <w:nsid w:val="4E459D1B"/>
    <w:multiLevelType w:val="multilevel"/>
    <w:tmpl w:val="4E459D1B"/>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7">
    <w:nsid w:val="7C39ABFC"/>
    <w:multiLevelType w:val="singleLevel"/>
    <w:tmpl w:val="7C39ABFC"/>
    <w:lvl w:ilvl="0" w:tentative="0">
      <w:start w:val="4"/>
      <w:numFmt w:val="chineseCounting"/>
      <w:suff w:val="nothing"/>
      <w:lvlText w:val="%1、"/>
      <w:lvlJc w:val="left"/>
      <w:rPr>
        <w:rFonts w:hint="eastAsia"/>
      </w:rPr>
    </w:lvl>
  </w:abstractNum>
  <w:abstractNum w:abstractNumId="18">
    <w:nsid w:val="7F0BA605"/>
    <w:multiLevelType w:val="multilevel"/>
    <w:tmpl w:val="7F0BA605"/>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13"/>
  </w:num>
  <w:num w:numId="2">
    <w:abstractNumId w:val="4"/>
  </w:num>
  <w:num w:numId="3">
    <w:abstractNumId w:val="18"/>
  </w:num>
  <w:num w:numId="4">
    <w:abstractNumId w:val="9"/>
  </w:num>
  <w:num w:numId="5">
    <w:abstractNumId w:val="16"/>
  </w:num>
  <w:num w:numId="6">
    <w:abstractNumId w:val="3"/>
  </w:num>
  <w:num w:numId="7">
    <w:abstractNumId w:val="14"/>
  </w:num>
  <w:num w:numId="8">
    <w:abstractNumId w:val="7"/>
  </w:num>
  <w:num w:numId="9">
    <w:abstractNumId w:val="8"/>
  </w:num>
  <w:num w:numId="10">
    <w:abstractNumId w:val="0"/>
  </w:num>
  <w:num w:numId="11">
    <w:abstractNumId w:val="2"/>
  </w:num>
  <w:num w:numId="12">
    <w:abstractNumId w:val="1"/>
  </w:num>
  <w:num w:numId="13">
    <w:abstractNumId w:val="10"/>
  </w:num>
  <w:num w:numId="14">
    <w:abstractNumId w:val="15"/>
  </w:num>
  <w:num w:numId="15">
    <w:abstractNumId w:val="5"/>
  </w:num>
  <w:num w:numId="16">
    <w:abstractNumId w:val="12"/>
  </w:num>
  <w:num w:numId="17">
    <w:abstractNumId w:val="11"/>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mU5ZWU0YzczYzJkMDE3YjZmMDc5NDdmMGMyNzhjNDYifQ=="/>
  </w:docVars>
  <w:rsids>
    <w:rsidRoot w:val="4B530E77"/>
    <w:rsid w:val="000327EE"/>
    <w:rsid w:val="000605D6"/>
    <w:rsid w:val="000A30DE"/>
    <w:rsid w:val="000A32A7"/>
    <w:rsid w:val="000F37AA"/>
    <w:rsid w:val="001067E4"/>
    <w:rsid w:val="00120A35"/>
    <w:rsid w:val="00166805"/>
    <w:rsid w:val="0019333F"/>
    <w:rsid w:val="001B789D"/>
    <w:rsid w:val="001B7A2F"/>
    <w:rsid w:val="001C6E60"/>
    <w:rsid w:val="002C123B"/>
    <w:rsid w:val="003535C4"/>
    <w:rsid w:val="00355828"/>
    <w:rsid w:val="00355BCC"/>
    <w:rsid w:val="00367F8E"/>
    <w:rsid w:val="00387C72"/>
    <w:rsid w:val="003B18CD"/>
    <w:rsid w:val="00422D49"/>
    <w:rsid w:val="00423E73"/>
    <w:rsid w:val="00452F08"/>
    <w:rsid w:val="00470F81"/>
    <w:rsid w:val="004733EF"/>
    <w:rsid w:val="004819BD"/>
    <w:rsid w:val="004A1CCB"/>
    <w:rsid w:val="0051442F"/>
    <w:rsid w:val="005F44AB"/>
    <w:rsid w:val="00605ACE"/>
    <w:rsid w:val="006164F1"/>
    <w:rsid w:val="00620D76"/>
    <w:rsid w:val="00677788"/>
    <w:rsid w:val="00681573"/>
    <w:rsid w:val="00695F13"/>
    <w:rsid w:val="006D3F0E"/>
    <w:rsid w:val="007128D3"/>
    <w:rsid w:val="00733B59"/>
    <w:rsid w:val="00790D9F"/>
    <w:rsid w:val="00801EBD"/>
    <w:rsid w:val="00802F6D"/>
    <w:rsid w:val="00875A4B"/>
    <w:rsid w:val="00877AD6"/>
    <w:rsid w:val="008E2308"/>
    <w:rsid w:val="00901C26"/>
    <w:rsid w:val="00911CAE"/>
    <w:rsid w:val="00914DA3"/>
    <w:rsid w:val="009D2540"/>
    <w:rsid w:val="00B15F45"/>
    <w:rsid w:val="00B547D9"/>
    <w:rsid w:val="00BC04CE"/>
    <w:rsid w:val="00BC0AF3"/>
    <w:rsid w:val="00C05A5E"/>
    <w:rsid w:val="00C10235"/>
    <w:rsid w:val="00CB182A"/>
    <w:rsid w:val="00CD491C"/>
    <w:rsid w:val="00CF1FE1"/>
    <w:rsid w:val="00D00B3C"/>
    <w:rsid w:val="00D320C0"/>
    <w:rsid w:val="00D56AC1"/>
    <w:rsid w:val="00D6300F"/>
    <w:rsid w:val="00D7072C"/>
    <w:rsid w:val="00D82A38"/>
    <w:rsid w:val="00D86305"/>
    <w:rsid w:val="00DA2709"/>
    <w:rsid w:val="00E30723"/>
    <w:rsid w:val="00E31E63"/>
    <w:rsid w:val="00EC0367"/>
    <w:rsid w:val="00EE667F"/>
    <w:rsid w:val="00F626F2"/>
    <w:rsid w:val="00FC38A2"/>
    <w:rsid w:val="07E8503F"/>
    <w:rsid w:val="08996555"/>
    <w:rsid w:val="17A829FF"/>
    <w:rsid w:val="2A8E3EF9"/>
    <w:rsid w:val="2BA5417C"/>
    <w:rsid w:val="2DA16EEB"/>
    <w:rsid w:val="36C1233B"/>
    <w:rsid w:val="385B7C29"/>
    <w:rsid w:val="3A485994"/>
    <w:rsid w:val="47653976"/>
    <w:rsid w:val="4B530E77"/>
    <w:rsid w:val="4D657F63"/>
    <w:rsid w:val="51FD65DB"/>
    <w:rsid w:val="53066655"/>
    <w:rsid w:val="563F34EA"/>
    <w:rsid w:val="580F039D"/>
    <w:rsid w:val="58883ED9"/>
    <w:rsid w:val="61477865"/>
    <w:rsid w:val="65A139C4"/>
    <w:rsid w:val="6ABD482A"/>
    <w:rsid w:val="6D2C0A8F"/>
    <w:rsid w:val="72910AC0"/>
    <w:rsid w:val="73323045"/>
    <w:rsid w:val="738A75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styleId="8">
    <w:name w:val="page number"/>
    <w:basedOn w:val="6"/>
    <w:qFormat/>
    <w:uiPriority w:val="0"/>
  </w:style>
  <w:style w:type="paragraph" w:styleId="9">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4212</Words>
  <Characters>4572</Characters>
  <Lines>33</Lines>
  <Paragraphs>9</Paragraphs>
  <TotalTime>639</TotalTime>
  <ScaleCrop>false</ScaleCrop>
  <LinksUpToDate>false</LinksUpToDate>
  <CharactersWithSpaces>4591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2022-06-09T08:10:00Z</dcterms:created>
  <dc:creator>Administrator</dc:creator>
  <cp:lastModifiedBy>水蜜桃</cp:lastModifiedBy>
  <cp:lastPrinted>2024-08-27T01:39:00Z</cp:lastPrinted>
  <dcterms:modified xsi:type="dcterms:W3CDTF">2026-09-11T02:54:55Z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826D2949094449F58F441F73AB9F7B50_13</vt:lpwstr>
  </property>
</Properties>
</file>