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46548">
      <w:pPr>
        <w:spacing w:line="600" w:lineRule="exact"/>
        <w:rPr>
          <w:rFonts w:eastAsia="黑体"/>
          <w:sz w:val="32"/>
          <w:szCs w:val="32"/>
        </w:rPr>
      </w:pPr>
    </w:p>
    <w:p w14:paraId="727B4DF4">
      <w:pPr>
        <w:jc w:val="center"/>
        <w:rPr>
          <w:rFonts w:ascii="方正小标宋简体" w:eastAsia="方正小标宋简体"/>
          <w:sz w:val="52"/>
          <w:szCs w:val="52"/>
        </w:rPr>
      </w:pPr>
      <w:bookmarkStart w:id="0" w:name="_GoBack"/>
      <w:bookmarkEnd w:id="0"/>
      <w:r>
        <w:rPr>
          <w:rFonts w:hint="eastAsia" w:ascii="方正小标宋简体" w:eastAsia="方正小标宋简体"/>
          <w:sz w:val="52"/>
          <w:szCs w:val="52"/>
        </w:rPr>
        <w:t>2025年度县委巡察办整体支出</w:t>
      </w:r>
    </w:p>
    <w:p w14:paraId="1E6835E7">
      <w:pPr>
        <w:jc w:val="center"/>
        <w:rPr>
          <w:rFonts w:ascii="方正小标宋简体" w:eastAsia="方正小标宋简体"/>
          <w:sz w:val="52"/>
          <w:szCs w:val="52"/>
        </w:rPr>
      </w:pPr>
      <w:r>
        <w:rPr>
          <w:rFonts w:hint="eastAsia" w:ascii="方正小标宋简体" w:eastAsia="方正小标宋简体"/>
          <w:sz w:val="52"/>
          <w:szCs w:val="52"/>
        </w:rPr>
        <w:t>绩效自评报告</w:t>
      </w:r>
    </w:p>
    <w:p w14:paraId="6D547BAB">
      <w:pPr>
        <w:jc w:val="center"/>
        <w:rPr>
          <w:rFonts w:eastAsia="方正小标宋_GBK"/>
          <w:b/>
          <w:sz w:val="52"/>
          <w:szCs w:val="52"/>
        </w:rPr>
      </w:pPr>
    </w:p>
    <w:p w14:paraId="668F373D">
      <w:pPr>
        <w:jc w:val="center"/>
        <w:rPr>
          <w:rFonts w:eastAsia="楷体_GB2312"/>
          <w:b/>
          <w:sz w:val="32"/>
          <w:szCs w:val="32"/>
        </w:rPr>
      </w:pPr>
    </w:p>
    <w:p w14:paraId="4BB07B53">
      <w:pPr>
        <w:rPr>
          <w:rFonts w:eastAsia="楷体_GB2312"/>
          <w:b/>
          <w:sz w:val="32"/>
          <w:szCs w:val="32"/>
        </w:rPr>
      </w:pPr>
    </w:p>
    <w:p w14:paraId="0C0F52DE">
      <w:pPr>
        <w:jc w:val="center"/>
        <w:rPr>
          <w:rFonts w:eastAsia="黑体"/>
          <w:sz w:val="32"/>
          <w:szCs w:val="32"/>
        </w:rPr>
      </w:pPr>
    </w:p>
    <w:p w14:paraId="7FDCC6B3">
      <w:pPr>
        <w:jc w:val="center"/>
        <w:rPr>
          <w:rFonts w:eastAsia="黑体"/>
          <w:sz w:val="32"/>
          <w:szCs w:val="32"/>
        </w:rPr>
      </w:pPr>
    </w:p>
    <w:p w14:paraId="1904E718">
      <w:pPr>
        <w:jc w:val="center"/>
        <w:rPr>
          <w:rFonts w:eastAsia="黑体"/>
          <w:sz w:val="32"/>
          <w:szCs w:val="32"/>
        </w:rPr>
      </w:pPr>
    </w:p>
    <w:p w14:paraId="12E80BD4">
      <w:pPr>
        <w:jc w:val="center"/>
        <w:rPr>
          <w:rFonts w:eastAsia="黑体"/>
          <w:sz w:val="32"/>
          <w:szCs w:val="32"/>
        </w:rPr>
      </w:pPr>
    </w:p>
    <w:p w14:paraId="59BECC4E">
      <w:pPr>
        <w:rPr>
          <w:rFonts w:eastAsia="黑体"/>
          <w:sz w:val="32"/>
          <w:szCs w:val="32"/>
        </w:rPr>
      </w:pPr>
    </w:p>
    <w:p w14:paraId="439ABA8A">
      <w:pPr>
        <w:jc w:val="center"/>
        <w:rPr>
          <w:rFonts w:eastAsia="黑体"/>
          <w:sz w:val="32"/>
          <w:szCs w:val="32"/>
        </w:rPr>
      </w:pPr>
    </w:p>
    <w:p w14:paraId="6E138A97">
      <w:pPr>
        <w:jc w:val="center"/>
        <w:rPr>
          <w:rFonts w:eastAsia="黑体"/>
          <w:sz w:val="32"/>
          <w:szCs w:val="32"/>
        </w:rPr>
      </w:pPr>
    </w:p>
    <w:p w14:paraId="107E86DB">
      <w:pPr>
        <w:jc w:val="center"/>
        <w:rPr>
          <w:rFonts w:eastAsia="黑体"/>
          <w:sz w:val="32"/>
          <w:szCs w:val="32"/>
        </w:rPr>
      </w:pPr>
    </w:p>
    <w:p w14:paraId="54EBF2B5">
      <w:pPr>
        <w:spacing w:line="570" w:lineRule="exact"/>
        <w:ind w:firstLine="640" w:firstLineChars="200"/>
        <w:rPr>
          <w:rFonts w:eastAsia="黑体"/>
          <w:sz w:val="32"/>
          <w:szCs w:val="32"/>
        </w:rPr>
      </w:pPr>
      <w:r>
        <w:rPr>
          <w:rFonts w:eastAsia="仿宋_GB2312"/>
          <w:sz w:val="32"/>
          <w:szCs w:val="32"/>
        </w:rPr>
        <w:br w:type="page"/>
      </w:r>
      <w:r>
        <w:rPr>
          <w:rFonts w:hint="eastAsia" w:ascii="黑体" w:hAnsi="黑体" w:eastAsia="黑体" w:cs="黑体"/>
          <w:sz w:val="32"/>
          <w:szCs w:val="32"/>
        </w:rPr>
        <w:t>一、</w:t>
      </w:r>
      <w:r>
        <w:rPr>
          <w:rFonts w:eastAsia="黑体"/>
          <w:sz w:val="32"/>
          <w:szCs w:val="32"/>
        </w:rPr>
        <w:t>部门（单位）基本情况</w:t>
      </w:r>
    </w:p>
    <w:p w14:paraId="396FA366">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（一）部门情况</w:t>
      </w:r>
    </w:p>
    <w:p w14:paraId="27DAD3F1">
      <w:pPr>
        <w:spacing w:line="580" w:lineRule="exact"/>
        <w:ind w:firstLine="643" w:firstLineChars="200"/>
        <w:rPr>
          <w:rFonts w:ascii="仿宋_GB2312" w:hAnsi="仿宋" w:eastAsia="仿宋_GB2312"/>
          <w:sz w:val="32"/>
          <w:szCs w:val="32"/>
        </w:rPr>
      </w:pPr>
      <w:r>
        <w:rPr>
          <w:rFonts w:hint="eastAsia" w:ascii="仿宋_GB2312" w:hAnsi="仿宋" w:eastAsia="仿宋_GB2312"/>
          <w:b/>
          <w:bCs/>
          <w:sz w:val="32"/>
          <w:szCs w:val="32"/>
        </w:rPr>
        <w:t>1．主要职能。</w:t>
      </w:r>
      <w:r>
        <w:rPr>
          <w:rFonts w:hint="eastAsia" w:ascii="仿宋_GB2312" w:hAnsi="仿宋_GB2312" w:eastAsia="仿宋_GB2312" w:cs="仿宋_GB2312"/>
          <w:sz w:val="32"/>
          <w:szCs w:val="32"/>
        </w:rPr>
        <w:t>传达中央、省委、市委、县委和县委巡察工作领导小组作出的决策和部署，向县委巡察工作领导小组、市委巡察办报告巡察工作情况。统筹、协调、指导县委巡察组开展工作。制定巡察工作标准，规范巡察工作流程，完善巡察工作评价机制。承担调查研究、制度建设、服务保障等工作。对巡察发现的普遍性、规律性问题进行综合、分析和研究,形成专题报告,为县委决策服务。对县委、县委巡察工作领导小组决定的事项及巡察移交事项进行督办。配合有关部门对巡察工作人员进行培训、考核监督和管理。受理干部群众对巡察工作人员的举报和反映,提出处理意见。负责巡察信息处理和对外宣传公开工作。办理县委、县委巡察工作领导小组和市委巡察办交办的其他事项。</w:t>
      </w:r>
    </w:p>
    <w:p w14:paraId="4A7BE08E">
      <w:pPr>
        <w:snapToGrid w:val="0"/>
        <w:spacing w:line="580" w:lineRule="exact"/>
        <w:ind w:firstLine="643" w:firstLineChars="200"/>
        <w:rPr>
          <w:rFonts w:ascii="仿宋_GB2312" w:hAnsi="仿宋" w:eastAsia="仿宋_GB2312"/>
          <w:b/>
          <w:bCs/>
          <w:sz w:val="32"/>
          <w:szCs w:val="32"/>
        </w:rPr>
      </w:pPr>
      <w:r>
        <w:rPr>
          <w:rFonts w:hint="eastAsia" w:ascii="仿宋_GB2312" w:hAnsi="仿宋" w:eastAsia="仿宋_GB2312"/>
          <w:b/>
          <w:bCs/>
          <w:sz w:val="32"/>
          <w:szCs w:val="32"/>
        </w:rPr>
        <w:t>2．机构情况</w:t>
      </w:r>
    </w:p>
    <w:p w14:paraId="076DDC89">
      <w:pPr>
        <w:snapToGrid w:val="0"/>
        <w:spacing w:line="58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kern w:val="0"/>
          <w:sz w:val="32"/>
          <w:szCs w:val="32"/>
        </w:rPr>
        <w:t>内设</w:t>
      </w:r>
      <w:r>
        <w:rPr>
          <w:rFonts w:hint="eastAsia" w:ascii="仿宋_GB2312" w:hAnsi="仿宋_GB2312" w:eastAsia="仿宋_GB2312" w:cs="仿宋_GB2312"/>
          <w:b/>
          <w:bCs/>
          <w:sz w:val="32"/>
          <w:szCs w:val="32"/>
        </w:rPr>
        <w:t>机构设置。</w:t>
      </w:r>
      <w:r>
        <w:rPr>
          <w:rFonts w:hint="eastAsia" w:ascii="仿宋_GB2312" w:hAnsi="仿宋_GB2312" w:eastAsia="仿宋_GB2312" w:cs="仿宋_GB2312"/>
          <w:sz w:val="32"/>
          <w:szCs w:val="32"/>
        </w:rPr>
        <w:t>根据《中国共产党巡视工作条例》、《中央办公厅印发〈关于市县党委建立巡察制度的意见〉的通知》和《湖南省贯彻〈中国共产党巡视工作条例〉实施办法》的文件精神，县委建立巡察制度，设立巡察机构，县编办出台“关于设立县委巡察机构、县纪委派驻机构的通知”（道编发﹝2017﹞9号）的规定，设立“中共道县县委巡察工作领导小组办公室”， 列入县委工作机构序列，为县委巡察工作领导小组的日常办事机构，设在县纪委，机构规格为正科级，县委巡察办核定机关行政编制6名，设主任1名,副主任2名,正股级领导职数3名。县委巡察组核定行政编制15名，设立中共道县县委第一至第五巡察组，机构规格为正科级，每个巡察组核定行政编制3名，每组设组长1名（正科级），副组长1名（副科级），联络员1名。</w:t>
      </w:r>
    </w:p>
    <w:p w14:paraId="752EC63B">
      <w:pPr>
        <w:snapToGrid w:val="0"/>
        <w:spacing w:line="58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kern w:val="0"/>
          <w:sz w:val="32"/>
          <w:szCs w:val="32"/>
        </w:rPr>
        <w:t>（2）决算单位构成。</w:t>
      </w:r>
      <w:r>
        <w:rPr>
          <w:rFonts w:hint="eastAsia" w:ascii="仿宋_GB2312" w:hAnsi="仿宋_GB2312" w:eastAsia="仿宋_GB2312" w:cs="仿宋_GB2312"/>
          <w:bCs/>
          <w:kern w:val="0"/>
          <w:sz w:val="32"/>
          <w:szCs w:val="32"/>
        </w:rPr>
        <w:t>县委巡察办202</w:t>
      </w:r>
      <w:r>
        <w:rPr>
          <w:rFonts w:hint="eastAsia" w:ascii="仿宋_GB2312" w:hAnsi="仿宋_GB2312" w:eastAsia="仿宋_GB2312" w:cs="仿宋_GB2312"/>
          <w:bCs/>
          <w:kern w:val="0"/>
          <w:sz w:val="32"/>
          <w:szCs w:val="32"/>
          <w:lang w:val="en-US" w:eastAsia="zh-CN"/>
        </w:rPr>
        <w:t>5</w:t>
      </w:r>
      <w:r>
        <w:rPr>
          <w:rFonts w:hint="eastAsia" w:ascii="仿宋_GB2312" w:hAnsi="仿宋_GB2312" w:eastAsia="仿宋_GB2312" w:cs="仿宋_GB2312"/>
          <w:bCs/>
          <w:kern w:val="0"/>
          <w:sz w:val="32"/>
          <w:szCs w:val="32"/>
        </w:rPr>
        <w:t>年部门决算汇总公开单位构成包括：县委巡察办本级。</w:t>
      </w:r>
    </w:p>
    <w:p w14:paraId="015A8BE9">
      <w:pPr>
        <w:snapToGrid w:val="0"/>
        <w:spacing w:line="580" w:lineRule="exact"/>
        <w:ind w:firstLine="643" w:firstLineChars="200"/>
        <w:rPr>
          <w:rFonts w:ascii="仿宋_GB2312" w:hAnsi="仿宋" w:eastAsia="仿宋_GB2312"/>
          <w:b/>
          <w:bCs/>
          <w:color w:val="000000" w:themeColor="text1"/>
          <w:sz w:val="32"/>
          <w:szCs w:val="32"/>
        </w:rPr>
      </w:pPr>
      <w:r>
        <w:rPr>
          <w:rFonts w:hint="eastAsia" w:ascii="仿宋_GB2312" w:hAnsi="仿宋" w:eastAsia="仿宋_GB2312"/>
          <w:b/>
          <w:bCs/>
          <w:color w:val="000000" w:themeColor="text1"/>
          <w:sz w:val="32"/>
          <w:szCs w:val="32"/>
        </w:rPr>
        <w:t>3.人员情况</w:t>
      </w:r>
    </w:p>
    <w:p w14:paraId="5983DF6C">
      <w:pPr>
        <w:snapToGrid w:val="0"/>
        <w:spacing w:line="580" w:lineRule="exact"/>
        <w:ind w:firstLine="640" w:firstLineChars="200"/>
        <w:rPr>
          <w:rFonts w:ascii="仿宋_GB2312" w:eastAsia="仿宋_GB2312"/>
          <w:color w:val="000000" w:themeColor="text1"/>
          <w:sz w:val="32"/>
          <w:szCs w:val="32"/>
        </w:rPr>
      </w:pPr>
      <w:r>
        <w:rPr>
          <w:rFonts w:hint="eastAsia" w:ascii="仿宋_GB2312" w:hAnsi="仿宋" w:eastAsia="仿宋_GB2312"/>
          <w:color w:val="000000" w:themeColor="text1"/>
          <w:sz w:val="32"/>
          <w:szCs w:val="32"/>
        </w:rPr>
        <w:t>2025年末在职人数2</w:t>
      </w:r>
      <w:r>
        <w:rPr>
          <w:rFonts w:hint="eastAsia" w:ascii="仿宋_GB2312" w:hAnsi="仿宋" w:eastAsia="仿宋_GB2312"/>
          <w:color w:val="000000" w:themeColor="text1"/>
          <w:sz w:val="32"/>
          <w:szCs w:val="32"/>
          <w:lang w:val="en-US" w:eastAsia="zh-CN"/>
        </w:rPr>
        <w:t>3</w:t>
      </w:r>
      <w:r>
        <w:rPr>
          <w:rFonts w:hint="eastAsia" w:ascii="仿宋_GB2312" w:hAnsi="仿宋" w:eastAsia="仿宋_GB2312"/>
          <w:color w:val="000000" w:themeColor="text1"/>
          <w:sz w:val="32"/>
          <w:szCs w:val="32"/>
        </w:rPr>
        <w:t>人，与上年度</w:t>
      </w:r>
      <w:r>
        <w:rPr>
          <w:rFonts w:hint="eastAsia" w:ascii="仿宋_GB2312" w:hAnsi="仿宋" w:eastAsia="仿宋_GB2312"/>
          <w:color w:val="000000" w:themeColor="text1"/>
          <w:sz w:val="32"/>
          <w:szCs w:val="32"/>
          <w:lang w:val="en-US" w:eastAsia="zh-CN"/>
        </w:rPr>
        <w:t>持平</w:t>
      </w:r>
      <w:r>
        <w:rPr>
          <w:rFonts w:hint="eastAsia" w:ascii="仿宋_GB2312" w:hAnsi="仿宋" w:eastAsia="仿宋_GB2312"/>
          <w:color w:val="000000" w:themeColor="text1"/>
          <w:sz w:val="32"/>
          <w:szCs w:val="32"/>
        </w:rPr>
        <w:t>。</w:t>
      </w:r>
    </w:p>
    <w:p w14:paraId="23036B86">
      <w:pPr>
        <w:pStyle w:val="9"/>
        <w:spacing w:line="570" w:lineRule="exact"/>
        <w:ind w:firstLine="640"/>
        <w:rPr>
          <w:rFonts w:ascii="Times New Roman" w:hAnsi="Times New Roman" w:eastAsia="黑体"/>
          <w:color w:val="000000" w:themeColor="text1"/>
          <w:sz w:val="32"/>
          <w:szCs w:val="32"/>
        </w:rPr>
      </w:pPr>
      <w:r>
        <w:rPr>
          <w:rFonts w:ascii="Times New Roman" w:hAnsi="Times New Roman" w:eastAsia="黑体"/>
          <w:color w:val="000000" w:themeColor="text1"/>
          <w:sz w:val="32"/>
          <w:szCs w:val="32"/>
        </w:rPr>
        <w:t>二、一般公共预算支出情况</w:t>
      </w:r>
    </w:p>
    <w:p w14:paraId="25B5A8D1">
      <w:pPr>
        <w:adjustRightInd w:val="0"/>
        <w:snapToGrid w:val="0"/>
        <w:spacing w:line="580" w:lineRule="exact"/>
        <w:ind w:firstLine="640" w:firstLineChars="20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2025年整体支出</w:t>
      </w:r>
      <w:r>
        <w:rPr>
          <w:rFonts w:hint="eastAsia" w:ascii="仿宋_GB2312" w:hAnsi="仿宋_GB2312" w:eastAsia="仿宋_GB2312" w:cs="仿宋_GB2312"/>
          <w:color w:val="000000" w:themeColor="text1"/>
          <w:sz w:val="32"/>
          <w:szCs w:val="32"/>
          <w:lang w:val="en-US" w:eastAsia="zh-CN"/>
        </w:rPr>
        <w:t>393.2</w:t>
      </w:r>
      <w:r>
        <w:rPr>
          <w:rFonts w:hint="eastAsia" w:ascii="仿宋_GB2312" w:hAnsi="仿宋_GB2312" w:eastAsia="仿宋_GB2312" w:cs="仿宋_GB2312"/>
          <w:color w:val="000000" w:themeColor="text1"/>
          <w:sz w:val="32"/>
          <w:szCs w:val="32"/>
        </w:rPr>
        <w:t xml:space="preserve">万元,其中:一般公共预算支出   </w:t>
      </w:r>
      <w:r>
        <w:rPr>
          <w:rFonts w:hint="eastAsia" w:ascii="仿宋_GB2312" w:hAnsi="仿宋_GB2312" w:eastAsia="仿宋_GB2312" w:cs="仿宋_GB2312"/>
          <w:color w:val="000000" w:themeColor="text1"/>
          <w:sz w:val="32"/>
          <w:szCs w:val="32"/>
          <w:lang w:val="en-US" w:eastAsia="zh-CN"/>
        </w:rPr>
        <w:t>393.2</w:t>
      </w:r>
      <w:r>
        <w:rPr>
          <w:rFonts w:hint="eastAsia" w:ascii="仿宋_GB2312" w:hAnsi="仿宋_GB2312" w:eastAsia="仿宋_GB2312" w:cs="仿宋_GB2312"/>
          <w:color w:val="000000" w:themeColor="text1"/>
          <w:sz w:val="32"/>
          <w:szCs w:val="32"/>
        </w:rPr>
        <w:t>万元。包括：</w:t>
      </w:r>
    </w:p>
    <w:p w14:paraId="1CACF087">
      <w:pPr>
        <w:numPr>
          <w:ilvl w:val="0"/>
          <w:numId w:val="1"/>
        </w:numPr>
        <w:spacing w:line="580" w:lineRule="exact"/>
        <w:ind w:firstLine="643" w:firstLineChars="200"/>
        <w:rPr>
          <w:rFonts w:ascii="仿宋_GB2312" w:hAnsi="仿宋" w:eastAsia="仿宋_GB2312"/>
          <w:color w:val="000000" w:themeColor="text1"/>
          <w:sz w:val="32"/>
          <w:szCs w:val="32"/>
        </w:rPr>
      </w:pPr>
      <w:r>
        <w:rPr>
          <w:rFonts w:hint="eastAsia" w:ascii="方正楷体_GBK" w:hAnsi="方正楷体_GBK" w:eastAsia="方正楷体_GBK" w:cs="方正楷体_GBK"/>
          <w:b/>
          <w:bCs/>
          <w:color w:val="000000" w:themeColor="text1"/>
          <w:sz w:val="32"/>
          <w:szCs w:val="32"/>
        </w:rPr>
        <w:t>基本支出情况：</w:t>
      </w:r>
      <w:r>
        <w:rPr>
          <w:rFonts w:hint="eastAsia" w:ascii="仿宋_GB2312" w:hAnsi="仿宋_GB2312" w:eastAsia="仿宋_GB2312" w:cs="仿宋_GB2312"/>
          <w:color w:val="000000" w:themeColor="text1"/>
          <w:sz w:val="32"/>
          <w:szCs w:val="32"/>
        </w:rPr>
        <w:t>基本支出364万元，</w:t>
      </w:r>
      <w:r>
        <w:rPr>
          <w:rFonts w:hint="eastAsia" w:ascii="仿宋_GB2312" w:hAnsi="仿宋" w:eastAsia="仿宋_GB2312"/>
          <w:color w:val="000000" w:themeColor="text1"/>
          <w:sz w:val="32"/>
          <w:szCs w:val="32"/>
        </w:rPr>
        <w:t>工资</w:t>
      </w:r>
      <w:r>
        <w:rPr>
          <w:rFonts w:hint="eastAsia" w:ascii="仿宋_GB2312" w:hAnsi="仿宋" w:eastAsia="仿宋_GB2312"/>
          <w:sz w:val="32"/>
          <w:szCs w:val="32"/>
        </w:rPr>
        <w:t>福利支出</w:t>
      </w:r>
      <w:r>
        <w:rPr>
          <w:rFonts w:hint="eastAsia" w:ascii="Times New Roman" w:hAnsi="Times New Roman" w:eastAsia="仿宋_GB2312" w:cs="Times New Roman"/>
          <w:sz w:val="32"/>
          <w:szCs w:val="32"/>
        </w:rPr>
        <w:t>304.984</w:t>
      </w:r>
      <w:r>
        <w:rPr>
          <w:rFonts w:hint="eastAsia" w:ascii="仿宋_GB2312" w:hAnsi="仿宋" w:eastAsia="仿宋_GB2312"/>
          <w:sz w:val="32"/>
          <w:szCs w:val="32"/>
        </w:rPr>
        <w:t>万元，占基本支出的</w:t>
      </w:r>
      <w:r>
        <w:rPr>
          <w:rFonts w:hint="eastAsia" w:ascii="Times New Roman" w:hAnsi="Times New Roman" w:eastAsia="仿宋_GB2312" w:cs="Times New Roman"/>
          <w:sz w:val="32"/>
          <w:szCs w:val="32"/>
        </w:rPr>
        <w:t>83.78</w:t>
      </w:r>
      <w:r>
        <w:rPr>
          <w:rFonts w:hint="eastAsia" w:ascii="仿宋_GB2312" w:hAnsi="仿宋" w:eastAsia="仿宋_GB2312"/>
          <w:sz w:val="32"/>
          <w:szCs w:val="32"/>
        </w:rPr>
        <w:t>%,主要包括基本工资、津贴补贴、奖金、伙食补助费、绩效工资、机关事业单位基本养老保险缴费、其他社会保险缴费、住房公积金、其他工资福利支出。商品和服务支出</w:t>
      </w:r>
      <w:r>
        <w:rPr>
          <w:rFonts w:hint="eastAsia" w:ascii="Times New Roman" w:hAnsi="Times New Roman" w:eastAsia="仿宋_GB2312" w:cs="Times New Roman"/>
          <w:sz w:val="32"/>
          <w:szCs w:val="32"/>
        </w:rPr>
        <w:t>59.0463</w:t>
      </w:r>
      <w:r>
        <w:rPr>
          <w:rFonts w:hint="eastAsia" w:ascii="仿宋_GB2312" w:hAnsi="仿宋" w:eastAsia="仿宋_GB2312"/>
          <w:sz w:val="32"/>
          <w:szCs w:val="32"/>
        </w:rPr>
        <w:t>万元，占基本支出的</w:t>
      </w:r>
      <w:r>
        <w:rPr>
          <w:rFonts w:hint="eastAsia" w:ascii="Times New Roman" w:hAnsi="Times New Roman" w:eastAsia="仿宋_GB2312" w:cs="Times New Roman"/>
          <w:sz w:val="32"/>
          <w:szCs w:val="32"/>
        </w:rPr>
        <w:t>16.22</w:t>
      </w:r>
      <w:r>
        <w:rPr>
          <w:rFonts w:hint="eastAsia" w:ascii="仿宋_GB2312" w:hAnsi="仿宋" w:eastAsia="仿宋_GB2312"/>
          <w:sz w:val="32"/>
          <w:szCs w:val="32"/>
        </w:rPr>
        <w:t>%，主要包括办公费、印刷费、水费、电费、邮电费、差旅费、维修（护）费、租赁费、培训费、公务接待费、劳务费、工会经费、福利费、其他交通费、其他商品和服务支</w:t>
      </w:r>
      <w:r>
        <w:rPr>
          <w:rFonts w:hint="eastAsia" w:ascii="仿宋_GB2312" w:hAnsi="仿宋" w:eastAsia="仿宋_GB2312"/>
          <w:color w:val="000000" w:themeColor="text1"/>
          <w:sz w:val="32"/>
          <w:szCs w:val="32"/>
        </w:rPr>
        <w:t>出。</w:t>
      </w:r>
    </w:p>
    <w:p w14:paraId="0EDD1B23">
      <w:pPr>
        <w:spacing w:line="580" w:lineRule="exact"/>
        <w:ind w:firstLine="643" w:firstLineChars="200"/>
        <w:rPr>
          <w:rFonts w:ascii="仿宋_GB2312" w:hAnsi="仿宋_GB2312" w:eastAsia="仿宋_GB2312" w:cs="仿宋_GB2312"/>
          <w:color w:val="000000" w:themeColor="text1"/>
          <w:sz w:val="32"/>
          <w:szCs w:val="32"/>
        </w:rPr>
      </w:pPr>
      <w:r>
        <w:rPr>
          <w:rFonts w:hint="eastAsia" w:ascii="方正楷体_GBK" w:hAnsi="方正楷体_GBK" w:eastAsia="方正楷体_GBK" w:cs="方正楷体_GBK"/>
          <w:b/>
          <w:bCs/>
          <w:color w:val="000000" w:themeColor="text1"/>
          <w:sz w:val="32"/>
          <w:szCs w:val="32"/>
        </w:rPr>
        <w:t>（二）项目支出情况：</w:t>
      </w:r>
      <w:r>
        <w:rPr>
          <w:rFonts w:hint="eastAsia" w:ascii="仿宋_GB2312" w:hAnsi="仿宋_GB2312" w:eastAsia="仿宋_GB2312" w:cs="仿宋_GB2312"/>
          <w:color w:val="000000" w:themeColor="text1"/>
          <w:sz w:val="32"/>
          <w:szCs w:val="32"/>
        </w:rPr>
        <w:t>项目支出29.2万元。用于常规巡察日常工作经费29.2万元。</w:t>
      </w:r>
    </w:p>
    <w:p w14:paraId="3F2D0000">
      <w:pPr>
        <w:pStyle w:val="9"/>
        <w:spacing w:line="570" w:lineRule="exact"/>
        <w:ind w:firstLine="640"/>
        <w:rPr>
          <w:rFonts w:ascii="Times New Roman" w:hAnsi="Times New Roman" w:eastAsia="仿宋_GB2312"/>
          <w:color w:val="000000"/>
          <w:sz w:val="32"/>
          <w:szCs w:val="32"/>
        </w:rPr>
      </w:pPr>
      <w:r>
        <w:rPr>
          <w:rFonts w:ascii="Times New Roman" w:hAnsi="Times New Roman" w:eastAsia="黑体"/>
          <w:color w:val="000000" w:themeColor="text1"/>
          <w:sz w:val="32"/>
          <w:szCs w:val="32"/>
        </w:rPr>
        <w:t>三、政府性基金预算支出情况</w:t>
      </w:r>
      <w:r>
        <w:rPr>
          <w:rFonts w:hint="eastAsia" w:ascii="Times New Roman" w:hAnsi="Times New Roman" w:eastAsia="黑体"/>
          <w:color w:val="000000" w:themeColor="text1"/>
          <w:sz w:val="32"/>
          <w:szCs w:val="32"/>
        </w:rPr>
        <w:t>。</w:t>
      </w:r>
      <w:r>
        <w:rPr>
          <w:rFonts w:hint="eastAsia" w:ascii="Times New Roman" w:hAnsi="Times New Roman" w:eastAsia="仿宋_GB2312"/>
          <w:color w:val="000000" w:themeColor="text1"/>
          <w:sz w:val="32"/>
          <w:szCs w:val="32"/>
        </w:rPr>
        <w:t>若无</w:t>
      </w:r>
      <w:r>
        <w:rPr>
          <w:rFonts w:hint="eastAsia" w:ascii="Times New Roman" w:hAnsi="Times New Roman" w:eastAsia="仿宋_GB2312"/>
          <w:color w:val="000000"/>
          <w:sz w:val="32"/>
          <w:szCs w:val="32"/>
        </w:rPr>
        <w:t>，请注明“我单位无政府性基金预算支出情况”</w:t>
      </w:r>
    </w:p>
    <w:p w14:paraId="4DDAF9E8">
      <w:pPr>
        <w:pStyle w:val="9"/>
        <w:spacing w:line="570" w:lineRule="exact"/>
        <w:ind w:firstLine="640"/>
        <w:rPr>
          <w:rFonts w:ascii="Times New Roman" w:hAnsi="Times New Roman" w:eastAsia="黑体"/>
          <w:sz w:val="32"/>
          <w:szCs w:val="32"/>
        </w:rPr>
      </w:pPr>
      <w:r>
        <w:rPr>
          <w:rFonts w:ascii="Times New Roman" w:hAnsi="Times New Roman" w:eastAsia="黑体"/>
          <w:sz w:val="32"/>
          <w:szCs w:val="32"/>
        </w:rPr>
        <w:t>四、国有资本经营预算支出情况</w:t>
      </w:r>
      <w:r>
        <w:rPr>
          <w:rFonts w:hint="eastAsia" w:ascii="Times New Roman" w:hAnsi="Times New Roman" w:eastAsia="黑体"/>
          <w:sz w:val="32"/>
          <w:szCs w:val="32"/>
        </w:rPr>
        <w:t>。</w:t>
      </w:r>
      <w:r>
        <w:rPr>
          <w:rFonts w:hint="eastAsia" w:ascii="Times New Roman" w:hAnsi="Times New Roman" w:eastAsia="仿宋_GB2312"/>
          <w:color w:val="000000"/>
          <w:sz w:val="32"/>
          <w:szCs w:val="32"/>
        </w:rPr>
        <w:t>若无，请注明“我单位无国有资本经营预算支出情况”</w:t>
      </w:r>
    </w:p>
    <w:p w14:paraId="4D50E5F2">
      <w:pPr>
        <w:pStyle w:val="9"/>
        <w:spacing w:line="570" w:lineRule="exact"/>
        <w:ind w:firstLine="640"/>
        <w:rPr>
          <w:rFonts w:ascii="Times New Roman" w:hAnsi="Times New Roman" w:eastAsia="黑体"/>
          <w:sz w:val="32"/>
          <w:szCs w:val="32"/>
        </w:rPr>
      </w:pPr>
      <w:r>
        <w:rPr>
          <w:rFonts w:ascii="Times New Roman" w:hAnsi="Times New Roman" w:eastAsia="黑体"/>
          <w:sz w:val="32"/>
          <w:szCs w:val="32"/>
        </w:rPr>
        <w:t>五、社会保险基金预算支出情况</w:t>
      </w:r>
      <w:r>
        <w:rPr>
          <w:rFonts w:hint="eastAsia" w:ascii="Times New Roman" w:hAnsi="Times New Roman" w:eastAsia="黑体"/>
          <w:sz w:val="32"/>
          <w:szCs w:val="32"/>
        </w:rPr>
        <w:t>。</w:t>
      </w:r>
      <w:r>
        <w:rPr>
          <w:rFonts w:hint="eastAsia" w:ascii="Times New Roman" w:hAnsi="Times New Roman" w:eastAsia="仿宋_GB2312"/>
          <w:color w:val="000000"/>
          <w:sz w:val="32"/>
          <w:szCs w:val="32"/>
        </w:rPr>
        <w:t>若无，请注明“我单位无社会保险基金预算支出情况”</w:t>
      </w:r>
    </w:p>
    <w:p w14:paraId="3AD19646">
      <w:pPr>
        <w:spacing w:line="570" w:lineRule="exact"/>
        <w:ind w:firstLine="640" w:firstLineChars="200"/>
        <w:rPr>
          <w:rFonts w:eastAsia="黑体"/>
          <w:sz w:val="32"/>
          <w:szCs w:val="32"/>
        </w:rPr>
      </w:pPr>
      <w:r>
        <w:rPr>
          <w:rFonts w:eastAsia="黑体"/>
          <w:sz w:val="32"/>
          <w:szCs w:val="32"/>
        </w:rPr>
        <w:t>六、部门整体支出绩效情况</w:t>
      </w:r>
    </w:p>
    <w:p w14:paraId="1EFB8EC6">
      <w:pPr>
        <w:pStyle w:val="12"/>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仿宋_GB2312" w:eastAsia="楷体_GB2312" w:cs="仿宋_GB2312"/>
          <w:b/>
          <w:bCs/>
          <w:sz w:val="32"/>
          <w:szCs w:val="32"/>
        </w:rPr>
      </w:pPr>
      <w:r>
        <w:rPr>
          <w:rFonts w:hint="eastAsia" w:ascii="楷体_GB2312" w:hAnsi="仿宋_GB2312" w:eastAsia="楷体_GB2312" w:cs="仿宋_GB2312"/>
          <w:b/>
          <w:bCs/>
          <w:sz w:val="32"/>
          <w:szCs w:val="32"/>
        </w:rPr>
        <w:t>（</w:t>
      </w:r>
      <w:r>
        <w:rPr>
          <w:rFonts w:hint="eastAsia" w:ascii="楷体_GB2312" w:hAnsi="仿宋_GB2312" w:eastAsia="楷体_GB2312" w:cs="仿宋_GB2312"/>
          <w:b/>
          <w:bCs/>
          <w:sz w:val="32"/>
          <w:szCs w:val="32"/>
          <w:lang w:val="en-US" w:eastAsia="zh-CN"/>
        </w:rPr>
        <w:t>一</w:t>
      </w:r>
      <w:r>
        <w:rPr>
          <w:rFonts w:hint="eastAsia" w:ascii="楷体_GB2312" w:hAnsi="仿宋_GB2312" w:eastAsia="楷体_GB2312" w:cs="仿宋_GB2312"/>
          <w:b/>
          <w:bCs/>
          <w:sz w:val="32"/>
          <w:szCs w:val="32"/>
        </w:rPr>
        <w:t>）坚守政治定位，精准履行监督职责</w:t>
      </w:r>
    </w:p>
    <w:p w14:paraId="09172613">
      <w:pPr>
        <w:pStyle w:val="12"/>
        <w:keepNext w:val="0"/>
        <w:keepLines w:val="0"/>
        <w:pageBreakBefore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县委巡察机构牢牢把握“两个维护”根本任务，聚焦政治监督内涵，持续深化政治巡察，有力发挥巡察利剑作用。</w:t>
      </w:r>
    </w:p>
    <w:p w14:paraId="11B43246">
      <w:pPr>
        <w:pStyle w:val="12"/>
        <w:keepNext w:val="0"/>
        <w:keepLines w:val="0"/>
        <w:pageBreakBefore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1.加强组织领导，压实主体责任。</w:t>
      </w:r>
      <w:r>
        <w:rPr>
          <w:rFonts w:hint="eastAsia" w:ascii="仿宋_GB2312" w:hAnsi="仿宋_GB2312" w:eastAsia="仿宋_GB2312" w:cs="仿宋_GB2312"/>
          <w:sz w:val="32"/>
          <w:szCs w:val="32"/>
        </w:rPr>
        <w:t>县委高度重视巡察工作，常委会专题审议年度工作情况报告及计划，</w:t>
      </w:r>
      <w:r>
        <w:rPr>
          <w:rFonts w:hint="eastAsia" w:ascii="仿宋_GB2312" w:hAnsi="仿宋_GB2312" w:eastAsia="仿宋_GB2312" w:cs="仿宋_GB2312"/>
          <w:sz w:val="32"/>
          <w:szCs w:val="32"/>
          <w:lang w:val="en-US" w:eastAsia="zh-CN"/>
        </w:rPr>
        <w:t>听取县委第七轮、</w:t>
      </w:r>
      <w:r>
        <w:rPr>
          <w:rFonts w:hint="eastAsia" w:ascii="仿宋_GB2312" w:hAnsi="仿宋_GB2312" w:eastAsia="仿宋_GB2312" w:cs="仿宋_GB2312"/>
          <w:sz w:val="32"/>
          <w:szCs w:val="32"/>
        </w:rPr>
        <w:t>第八轮巡察情况</w:t>
      </w:r>
      <w:r>
        <w:rPr>
          <w:rFonts w:hint="eastAsia" w:ascii="仿宋_GB2312" w:hAnsi="仿宋_GB2312" w:eastAsia="仿宋_GB2312" w:cs="仿宋_GB2312"/>
          <w:sz w:val="32"/>
          <w:szCs w:val="32"/>
          <w:lang w:val="en-US" w:eastAsia="zh-CN"/>
        </w:rPr>
        <w:t>汇报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并审议了巡察报告，</w:t>
      </w:r>
      <w:r>
        <w:rPr>
          <w:rFonts w:hint="eastAsia" w:ascii="仿宋_GB2312" w:hAnsi="仿宋_GB2312" w:eastAsia="仿宋_GB2312" w:cs="仿宋_GB2312"/>
          <w:sz w:val="32"/>
          <w:szCs w:val="32"/>
        </w:rPr>
        <w:t>加强</w:t>
      </w:r>
      <w:r>
        <w:rPr>
          <w:rFonts w:hint="eastAsia" w:ascii="仿宋_GB2312" w:hAnsi="仿宋_GB2312" w:eastAsia="仿宋_GB2312" w:cs="仿宋_GB2312"/>
          <w:sz w:val="32"/>
          <w:szCs w:val="32"/>
          <w:lang w:val="en-US" w:eastAsia="zh-CN"/>
        </w:rPr>
        <w:t>县委巡察工作</w:t>
      </w:r>
      <w:r>
        <w:rPr>
          <w:rFonts w:hint="eastAsia" w:ascii="仿宋_GB2312" w:hAnsi="仿宋_GB2312" w:eastAsia="仿宋_GB2312" w:cs="仿宋_GB2312"/>
          <w:sz w:val="32"/>
          <w:szCs w:val="32"/>
        </w:rPr>
        <w:t>顶层设计和推动落实。严格按照县委巡察工作规划部署，对标对表上级新精神新要求，科学谋划、稳步实施。</w:t>
      </w:r>
    </w:p>
    <w:p w14:paraId="72079A87">
      <w:pPr>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sz w:val="32"/>
          <w:szCs w:val="32"/>
        </w:rPr>
      </w:pPr>
      <w:r>
        <w:rPr>
          <w:rFonts w:hint="eastAsia" w:ascii="仿宋_GB2312" w:hAnsi="仿宋_GB2312" w:eastAsia="仿宋_GB2312" w:cs="仿宋_GB2312"/>
          <w:b/>
          <w:bCs/>
          <w:sz w:val="32"/>
          <w:szCs w:val="32"/>
        </w:rPr>
        <w:t>2.深化政治体检，提升监督质效。</w:t>
      </w:r>
      <w:r>
        <w:rPr>
          <w:rFonts w:hint="eastAsia" w:ascii="仿宋_GB2312" w:hAnsi="仿宋_GB2312" w:eastAsia="仿宋_GB2312" w:cs="仿宋_GB2312"/>
          <w:sz w:val="32"/>
          <w:szCs w:val="32"/>
        </w:rPr>
        <w:t>紧紧围绕全县中心任务，高质量推进巡察全覆盖。上半年</w:t>
      </w:r>
      <w:r>
        <w:rPr>
          <w:rFonts w:hint="eastAsia" w:ascii="仿宋_GB2312" w:hAnsi="仿宋_GB2312" w:eastAsia="仿宋_GB2312" w:cs="仿宋_GB2312"/>
          <w:sz w:val="32"/>
          <w:szCs w:val="32"/>
          <w:lang w:eastAsia="zh-CN"/>
        </w:rPr>
        <w:t>开展县委</w:t>
      </w:r>
      <w:r>
        <w:rPr>
          <w:rFonts w:hint="eastAsia" w:ascii="仿宋_GB2312" w:hAnsi="仿宋_GB2312" w:eastAsia="仿宋_GB2312" w:cs="仿宋_GB2312"/>
          <w:sz w:val="32"/>
          <w:szCs w:val="32"/>
        </w:rPr>
        <w:t>第八轮巡察</w:t>
      </w:r>
      <w:r>
        <w:rPr>
          <w:rFonts w:hint="eastAsia" w:ascii="仿宋_GB2312" w:hAnsi="仿宋_GB2312" w:eastAsia="仿宋_GB2312" w:cs="仿宋_GB2312"/>
          <w:sz w:val="32"/>
          <w:szCs w:val="32"/>
          <w:lang w:eastAsia="zh-CN"/>
        </w:rPr>
        <w:t>，共</w:t>
      </w:r>
      <w:r>
        <w:rPr>
          <w:rFonts w:hint="eastAsia" w:ascii="仿宋_GB2312" w:hAnsi="仿宋_GB2312" w:eastAsia="仿宋_GB2312" w:cs="仿宋_GB2312"/>
          <w:sz w:val="32"/>
          <w:szCs w:val="32"/>
        </w:rPr>
        <w:t>组建6个巡察组，</w:t>
      </w:r>
      <w:r>
        <w:rPr>
          <w:rFonts w:hint="eastAsia" w:ascii="仿宋_GB2312" w:hAnsi="仿宋_GB2312" w:eastAsia="仿宋_GB2312" w:cs="仿宋_GB2312"/>
          <w:color w:val="000000" w:themeColor="text1"/>
          <w:sz w:val="32"/>
          <w:szCs w:val="32"/>
          <w:lang w:eastAsia="zh-CN"/>
        </w:rPr>
        <w:t>既对</w:t>
      </w:r>
      <w:r>
        <w:rPr>
          <w:rFonts w:hint="eastAsia" w:ascii="仿宋_GB2312" w:hAnsi="仿宋_GB2312" w:eastAsia="仿宋_GB2312" w:cs="仿宋_GB2312"/>
          <w:color w:val="000000" w:themeColor="text1"/>
          <w:sz w:val="32"/>
          <w:szCs w:val="32"/>
          <w:lang w:val="en-US" w:eastAsia="zh-CN"/>
        </w:rPr>
        <w:t>8个</w:t>
      </w:r>
      <w:r>
        <w:rPr>
          <w:rFonts w:hint="eastAsia" w:ascii="仿宋_GB2312" w:hAnsi="仿宋_GB2312" w:eastAsia="仿宋_GB2312" w:cs="仿宋_GB2312"/>
          <w:color w:val="000000" w:themeColor="text1"/>
          <w:sz w:val="32"/>
          <w:szCs w:val="32"/>
          <w:lang w:eastAsia="zh-CN"/>
        </w:rPr>
        <w:t>县直重点单位和县属国企开展了巡察，还采取了巡察乡镇（街道）带村（社区）和部分村（社区）直接巡察的方式，对</w:t>
      </w:r>
      <w:r>
        <w:rPr>
          <w:rFonts w:hint="eastAsia" w:ascii="仿宋_GB2312" w:hAnsi="仿宋_GB2312" w:eastAsia="仿宋_GB2312" w:cs="仿宋_GB2312"/>
          <w:color w:val="000000" w:themeColor="text1"/>
          <w:sz w:val="32"/>
          <w:szCs w:val="32"/>
          <w:lang w:val="en-US" w:eastAsia="zh-CN"/>
        </w:rPr>
        <w:t>4个乡镇（街道）74个村（社区）</w:t>
      </w:r>
      <w:r>
        <w:rPr>
          <w:rFonts w:hint="eastAsia" w:ascii="仿宋_GB2312" w:hAnsi="仿宋_GB2312" w:eastAsia="仿宋_GB2312" w:cs="仿宋_GB2312"/>
          <w:color w:val="000000" w:themeColor="text1"/>
          <w:sz w:val="32"/>
          <w:szCs w:val="32"/>
          <w:lang w:eastAsia="zh-CN"/>
        </w:rPr>
        <w:t>开展了对村巡察。</w:t>
      </w:r>
      <w:r>
        <w:rPr>
          <w:rFonts w:hint="eastAsia" w:ascii="仿宋_GB2312" w:hAnsi="仿宋_GB2312" w:eastAsia="仿宋_GB2312" w:cs="仿宋_GB2312"/>
          <w:sz w:val="32"/>
          <w:szCs w:val="32"/>
        </w:rPr>
        <w:t>共发现面上问题1129个，交办立行立改事项58个，推动解决群众急难愁盼问题36件，督促退缴</w:t>
      </w:r>
      <w:r>
        <w:rPr>
          <w:rFonts w:hint="eastAsia" w:ascii="仿宋_GB2312" w:hAnsi="仿宋_GB2312" w:eastAsia="仿宋_GB2312" w:cs="仿宋_GB2312"/>
          <w:sz w:val="32"/>
          <w:szCs w:val="32"/>
          <w:lang w:eastAsia="zh-CN"/>
        </w:rPr>
        <w:t>违纪</w:t>
      </w:r>
      <w:r>
        <w:rPr>
          <w:rFonts w:hint="eastAsia" w:ascii="仿宋_GB2312" w:hAnsi="仿宋_GB2312" w:eastAsia="仿宋_GB2312" w:cs="仿宋_GB2312"/>
          <w:sz w:val="32"/>
          <w:szCs w:val="32"/>
        </w:rPr>
        <w:t>资金38.83万元。下半年</w:t>
      </w:r>
      <w:r>
        <w:rPr>
          <w:rFonts w:hint="eastAsia" w:ascii="仿宋_GB2312" w:hAnsi="仿宋_GB2312" w:eastAsia="仿宋_GB2312" w:cs="仿宋_GB2312"/>
          <w:sz w:val="32"/>
          <w:szCs w:val="32"/>
          <w:lang w:eastAsia="zh-CN"/>
        </w:rPr>
        <w:t>开展县委</w:t>
      </w:r>
      <w:r>
        <w:rPr>
          <w:rFonts w:hint="eastAsia" w:ascii="仿宋_GB2312" w:hAnsi="仿宋_GB2312" w:eastAsia="仿宋_GB2312" w:cs="仿宋_GB2312"/>
          <w:sz w:val="32"/>
          <w:szCs w:val="32"/>
        </w:rPr>
        <w:t>第九轮巡察</w:t>
      </w:r>
      <w:r>
        <w:rPr>
          <w:rFonts w:hint="eastAsia" w:ascii="仿宋_GB2312" w:hAnsi="仿宋_GB2312" w:eastAsia="仿宋_GB2312" w:cs="仿宋_GB2312"/>
          <w:sz w:val="32"/>
          <w:szCs w:val="32"/>
          <w:lang w:eastAsia="zh-CN"/>
        </w:rPr>
        <w:t>，共</w:t>
      </w:r>
      <w:r>
        <w:rPr>
          <w:rFonts w:hint="eastAsia" w:ascii="仿宋_GB2312" w:hAnsi="仿宋_GB2312" w:eastAsia="仿宋_GB2312" w:cs="仿宋_GB2312"/>
          <w:sz w:val="32"/>
          <w:szCs w:val="32"/>
        </w:rPr>
        <w:t>组建7个巡察组，对8个县直单位和4家国有企业开展常规巡察；配合省、市、县三级联动，对教育领域3个单位开展专项巡察，并对县教育局下属10所学校进行延伸巡察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共发现面上问题326个，交办立行立改事项58个，推动解决群众急难愁盼问题23件，督促退缴</w:t>
      </w:r>
      <w:r>
        <w:rPr>
          <w:rFonts w:hint="eastAsia" w:ascii="仿宋_GB2312" w:hAnsi="仿宋_GB2312" w:eastAsia="仿宋_GB2312" w:cs="仿宋_GB2312"/>
          <w:sz w:val="32"/>
          <w:szCs w:val="32"/>
          <w:lang w:eastAsia="zh-CN"/>
        </w:rPr>
        <w:t>违纪</w:t>
      </w:r>
      <w:r>
        <w:rPr>
          <w:rFonts w:hint="eastAsia" w:ascii="仿宋_GB2312" w:hAnsi="仿宋_GB2312" w:eastAsia="仿宋_GB2312" w:cs="仿宋_GB2312"/>
          <w:sz w:val="32"/>
          <w:szCs w:val="32"/>
        </w:rPr>
        <w:t>资金25.38万元；同时，督促县教育局组成4个督学督察组，对41所未巡公办学校和5所公办幼儿园开展督导，形成监督合力。</w:t>
      </w:r>
    </w:p>
    <w:p w14:paraId="3D91E135">
      <w:pPr>
        <w:pStyle w:val="12"/>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3.注重统筹推进，扩大覆盖成果。</w:t>
      </w:r>
      <w:r>
        <w:rPr>
          <w:rFonts w:hint="eastAsia" w:ascii="仿宋_GB2312" w:hAnsi="仿宋_GB2312" w:eastAsia="仿宋_GB2312" w:cs="仿宋_GB2312"/>
          <w:sz w:val="32"/>
          <w:szCs w:val="32"/>
        </w:rPr>
        <w:t>截至</w:t>
      </w:r>
      <w:r>
        <w:rPr>
          <w:rFonts w:hint="eastAsia" w:ascii="仿宋_GB2312" w:hAnsi="仿宋_GB2312" w:eastAsia="仿宋_GB2312" w:cs="仿宋_GB2312"/>
          <w:sz w:val="32"/>
          <w:szCs w:val="32"/>
          <w:lang w:val="en-US" w:eastAsia="zh-CN"/>
        </w:rPr>
        <w:t>2025年底</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十三</w:t>
      </w:r>
      <w:r>
        <w:rPr>
          <w:rFonts w:hint="eastAsia" w:ascii="仿宋_GB2312" w:hAnsi="仿宋_GB2312" w:eastAsia="仿宋_GB2312" w:cs="仿宋_GB2312"/>
          <w:sz w:val="32"/>
          <w:szCs w:val="32"/>
        </w:rPr>
        <w:t>届县委规划的105个单位党组织巡察任务，已完成90个，覆盖率85.7%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全县369个村（社区）的</w:t>
      </w:r>
      <w:r>
        <w:rPr>
          <w:rFonts w:hint="eastAsia" w:ascii="仿宋_GB2312" w:hAnsi="仿宋_GB2312" w:eastAsia="仿宋_GB2312" w:cs="仿宋_GB2312"/>
          <w:sz w:val="32"/>
          <w:szCs w:val="32"/>
          <w:lang w:val="en-US" w:eastAsia="zh-CN"/>
        </w:rPr>
        <w:t>已</w:t>
      </w:r>
      <w:r>
        <w:rPr>
          <w:rFonts w:hint="eastAsia" w:ascii="仿宋_GB2312" w:hAnsi="仿宋_GB2312" w:eastAsia="仿宋_GB2312" w:cs="仿宋_GB2312"/>
          <w:sz w:val="32"/>
          <w:szCs w:val="32"/>
        </w:rPr>
        <w:t>实现巡察全覆盖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县委</w:t>
      </w:r>
      <w:r>
        <w:rPr>
          <w:rFonts w:hint="eastAsia" w:ascii="仿宋_GB2312" w:hAnsi="仿宋_GB2312" w:eastAsia="仿宋_GB2312" w:cs="仿宋_GB2312"/>
          <w:sz w:val="32"/>
          <w:szCs w:val="32"/>
        </w:rPr>
        <w:t>巡察全覆盖工作取得决定性进展。</w:t>
      </w:r>
    </w:p>
    <w:p w14:paraId="2605061F">
      <w:pPr>
        <w:pStyle w:val="12"/>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仿宋_GB2312" w:eastAsia="楷体_GB2312" w:cs="仿宋_GB2312"/>
          <w:b/>
          <w:bCs/>
          <w:sz w:val="32"/>
          <w:szCs w:val="32"/>
        </w:rPr>
      </w:pPr>
      <w:r>
        <w:rPr>
          <w:rFonts w:hint="eastAsia" w:ascii="楷体_GB2312" w:hAnsi="仿宋_GB2312" w:eastAsia="楷体_GB2312" w:cs="仿宋_GB2312"/>
          <w:b/>
          <w:bCs/>
          <w:sz w:val="32"/>
          <w:szCs w:val="32"/>
        </w:rPr>
        <w:t>（</w:t>
      </w:r>
      <w:r>
        <w:rPr>
          <w:rFonts w:hint="eastAsia" w:ascii="楷体_GB2312" w:hAnsi="仿宋_GB2312" w:eastAsia="楷体_GB2312" w:cs="仿宋_GB2312"/>
          <w:b/>
          <w:bCs/>
          <w:sz w:val="32"/>
          <w:szCs w:val="32"/>
          <w:lang w:val="en-US" w:eastAsia="zh-CN"/>
        </w:rPr>
        <w:t>二</w:t>
      </w:r>
      <w:r>
        <w:rPr>
          <w:rFonts w:hint="eastAsia" w:ascii="楷体_GB2312" w:hAnsi="仿宋_GB2312" w:eastAsia="楷体_GB2312" w:cs="仿宋_GB2312"/>
          <w:b/>
          <w:bCs/>
          <w:sz w:val="32"/>
          <w:szCs w:val="32"/>
        </w:rPr>
        <w:t>）做实整改文章，深化巡察成果运用</w:t>
      </w:r>
    </w:p>
    <w:p w14:paraId="0478A0D8">
      <w:pPr>
        <w:pStyle w:val="12"/>
        <w:keepNext w:val="0"/>
        <w:keepLines w:val="0"/>
        <w:pageBreakBefore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坚持发现问题与推动整改并重，压紧压实整改责任，强化成果综合运用，扎实做好巡察“后半篇文章”。</w:t>
      </w:r>
    </w:p>
    <w:p w14:paraId="2F6CE01C">
      <w:pPr>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sz w:val="32"/>
          <w:szCs w:val="32"/>
        </w:rPr>
      </w:pPr>
      <w:r>
        <w:rPr>
          <w:rFonts w:hint="eastAsia" w:ascii="仿宋_GB2312" w:hAnsi="仿宋_GB2312" w:eastAsia="仿宋_GB2312" w:cs="仿宋_GB2312"/>
          <w:b/>
          <w:bCs/>
          <w:sz w:val="32"/>
          <w:szCs w:val="32"/>
        </w:rPr>
        <w:t>1.加强督导检查，推动整改落地。</w:t>
      </w:r>
      <w:r>
        <w:rPr>
          <w:rFonts w:hint="eastAsia" w:ascii="仿宋_GB2312" w:hAnsi="仿宋_GB2312" w:eastAsia="仿宋_GB2312" w:cs="仿宋_GB2312"/>
          <w:sz w:val="32"/>
          <w:szCs w:val="32"/>
        </w:rPr>
        <w:t>7月上旬，组建6个督导组，对第七轮暨医疗卫生领域专项巡察整改情况开展集中督导，压实主体责任，协调解决难题。10月上旬，</w:t>
      </w:r>
      <w:r>
        <w:rPr>
          <w:rFonts w:hint="eastAsia" w:ascii="仿宋_GB2312" w:hAnsi="仿宋_GB2312" w:eastAsia="仿宋_GB2312" w:cs="仿宋_GB2312"/>
          <w:sz w:val="32"/>
          <w:szCs w:val="32"/>
          <w:lang w:eastAsia="zh-CN"/>
        </w:rPr>
        <w:t>根据省、市委开展教育领域专项巡察的要求，</w:t>
      </w:r>
      <w:r>
        <w:rPr>
          <w:rFonts w:hint="eastAsia" w:ascii="仿宋_GB2312" w:hAnsi="仿宋_GB2312" w:eastAsia="仿宋_GB2312" w:cs="仿宋_GB2312"/>
          <w:sz w:val="32"/>
          <w:szCs w:val="32"/>
        </w:rPr>
        <w:t>成立专项督导组，对2023年专项巡察的23所学校党组织及县教育局党组整改情况开展</w:t>
      </w:r>
      <w:r>
        <w:rPr>
          <w:rFonts w:hint="eastAsia" w:ascii="仿宋_GB2312" w:hAnsi="仿宋_GB2312" w:eastAsia="仿宋_GB2312" w:cs="仿宋_GB2312"/>
          <w:sz w:val="32"/>
          <w:szCs w:val="32"/>
          <w:lang w:eastAsia="zh-CN"/>
        </w:rPr>
        <w:t>“回头看”</w:t>
      </w:r>
      <w:r>
        <w:rPr>
          <w:rFonts w:hint="eastAsia" w:ascii="仿宋_GB2312" w:hAnsi="仿宋_GB2312" w:eastAsia="仿宋_GB2312" w:cs="仿宋_GB2312"/>
          <w:sz w:val="32"/>
          <w:szCs w:val="32"/>
        </w:rPr>
        <w:t>，确保教育领域整改到位。</w:t>
      </w:r>
    </w:p>
    <w:p w14:paraId="54305553">
      <w:pPr>
        <w:pStyle w:val="12"/>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2.科学评估问效，确保整改质量。</w:t>
      </w:r>
      <w:r>
        <w:rPr>
          <w:rFonts w:hint="eastAsia" w:ascii="仿宋_GB2312" w:hAnsi="仿宋_GB2312" w:eastAsia="仿宋_GB2312" w:cs="仿宋_GB2312"/>
          <w:sz w:val="32"/>
          <w:szCs w:val="32"/>
        </w:rPr>
        <w:t>7月下旬，牵头组建6个评估组，联合相关部门，依据省委巡视整改评估指标体系，对县教育局及23所学校整改成效进行全面评估。巡察反馈的705个具体问题，已完成整改625个、阶段性完成58个、未完成22个，整改完成率96.87%。评定“好”等次6个、“较好”14个、“一般”3个，对评价“完成”的625个问题予以销号。</w:t>
      </w:r>
      <w:r>
        <w:rPr>
          <w:rFonts w:hint="eastAsia" w:ascii="仿宋_GB2312" w:hAnsi="仿宋_GB2312" w:eastAsia="仿宋_GB2312" w:cs="仿宋_GB2312"/>
          <w:sz w:val="32"/>
          <w:szCs w:val="32"/>
          <w:lang w:eastAsia="zh-CN"/>
        </w:rPr>
        <w:t>还组织精干力量，配合做好市委提级巡察县政法领域的整改评估工作。</w:t>
      </w:r>
    </w:p>
    <w:p w14:paraId="189E16DB">
      <w:pPr>
        <w:pStyle w:val="12"/>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3.强化问责震慑，倒逼责任落实。</w:t>
      </w:r>
      <w:r>
        <w:rPr>
          <w:rFonts w:hint="eastAsia" w:ascii="仿宋_GB2312" w:hAnsi="仿宋_GB2312" w:eastAsia="仿宋_GB2312" w:cs="仿宋_GB2312"/>
          <w:sz w:val="32"/>
          <w:szCs w:val="32"/>
        </w:rPr>
        <w:t>2025年3月，对十三届县委巡察以来尚未完成整改的13个问题进行重点督办，对整改不力的3个单</w:t>
      </w:r>
      <w:r>
        <w:rPr>
          <w:rFonts w:hint="eastAsia" w:ascii="仿宋_GB2312" w:hAnsi="仿宋_GB2312" w:eastAsia="仿宋_GB2312" w:cs="仿宋_GB2312"/>
          <w:color w:val="000000" w:themeColor="text1"/>
          <w:sz w:val="32"/>
          <w:szCs w:val="32"/>
        </w:rPr>
        <w:t>位主要负责人进行约谈，并向9个单位发出督促函。县纪委根据巡察移交线索，对县</w:t>
      </w:r>
      <w:r>
        <w:rPr>
          <w:rFonts w:hint="eastAsia" w:ascii="仿宋_GB2312" w:hAnsi="仿宋_GB2312" w:eastAsia="仿宋_GB2312" w:cs="仿宋_GB2312"/>
          <w:color w:val="000000" w:themeColor="text1"/>
          <w:sz w:val="32"/>
          <w:szCs w:val="32"/>
          <w:lang w:eastAsia="zh-CN"/>
        </w:rPr>
        <w:t>原</w:t>
      </w:r>
      <w:r>
        <w:rPr>
          <w:rFonts w:hint="eastAsia" w:ascii="仿宋_GB2312" w:hAnsi="仿宋_GB2312" w:eastAsia="仿宋_GB2312" w:cs="仿宋_GB2312"/>
          <w:color w:val="000000" w:themeColor="text1"/>
          <w:sz w:val="32"/>
          <w:szCs w:val="32"/>
        </w:rPr>
        <w:t>商改办相关责任人立案调查。</w:t>
      </w:r>
      <w:r>
        <w:rPr>
          <w:rFonts w:hint="eastAsia" w:ascii="仿宋_GB2312" w:hAnsi="仿宋_GB2312" w:eastAsia="仿宋_GB2312" w:cs="仿宋_GB2312"/>
          <w:sz w:val="32"/>
          <w:szCs w:val="32"/>
        </w:rPr>
        <w:t>2025年5月，县纪委监委对省委巡视反馈问题整改不力的县市场监督管理局原党组书记、相关责任人立案查处，形成有力震慑。</w:t>
      </w:r>
    </w:p>
    <w:p w14:paraId="08480720">
      <w:pPr>
        <w:pStyle w:val="12"/>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仿宋_GB2312" w:eastAsia="楷体_GB2312" w:cs="仿宋_GB2312"/>
          <w:b/>
          <w:bCs/>
          <w:sz w:val="32"/>
          <w:szCs w:val="32"/>
        </w:rPr>
      </w:pPr>
      <w:r>
        <w:rPr>
          <w:rFonts w:hint="eastAsia" w:ascii="楷体_GB2312" w:hAnsi="仿宋_GB2312" w:eastAsia="楷体_GB2312" w:cs="仿宋_GB2312"/>
          <w:b/>
          <w:bCs/>
          <w:sz w:val="32"/>
          <w:szCs w:val="32"/>
        </w:rPr>
        <w:t>（</w:t>
      </w:r>
      <w:r>
        <w:rPr>
          <w:rFonts w:hint="eastAsia" w:ascii="楷体_GB2312" w:hAnsi="仿宋_GB2312" w:eastAsia="楷体_GB2312" w:cs="仿宋_GB2312"/>
          <w:b/>
          <w:bCs/>
          <w:sz w:val="32"/>
          <w:szCs w:val="32"/>
          <w:lang w:val="en-US" w:eastAsia="zh-CN"/>
        </w:rPr>
        <w:t>三</w:t>
      </w:r>
      <w:r>
        <w:rPr>
          <w:rFonts w:hint="eastAsia" w:ascii="楷体_GB2312" w:hAnsi="仿宋_GB2312" w:eastAsia="楷体_GB2312" w:cs="仿宋_GB2312"/>
          <w:b/>
          <w:bCs/>
          <w:sz w:val="32"/>
          <w:szCs w:val="32"/>
        </w:rPr>
        <w:t>）健全联动格局，凝聚巡察监督合力</w:t>
      </w:r>
    </w:p>
    <w:p w14:paraId="07370D40">
      <w:pPr>
        <w:pStyle w:val="12"/>
        <w:keepNext w:val="0"/>
        <w:keepLines w:val="0"/>
        <w:pageBreakBefore w:val="0"/>
        <w:kinsoku/>
        <w:wordWrap/>
        <w:overflowPunct/>
        <w:topLinePunct w:val="0"/>
        <w:autoSpaceDE/>
        <w:autoSpaceDN/>
        <w:bidi w:val="0"/>
        <w:adjustRightInd/>
        <w:snapToGrid/>
        <w:spacing w:line="580" w:lineRule="exact"/>
        <w:ind w:firstLine="640" w:firstLineChars="200"/>
        <w:jc w:val="left"/>
        <w:textAlignment w:val="auto"/>
        <w:rPr>
          <w:rFonts w:hint="eastAsia" w:ascii="楷体_GB2312" w:hAnsi="楷体_GB2312" w:eastAsia="楷体_GB2312" w:cs="楷体_GB2312"/>
          <w:b/>
          <w:bCs/>
          <w:sz w:val="32"/>
          <w:szCs w:val="32"/>
        </w:rPr>
      </w:pPr>
      <w:r>
        <w:rPr>
          <w:rFonts w:hint="eastAsia" w:ascii="仿宋_GB2312" w:hAnsi="仿宋_GB2312" w:eastAsia="仿宋_GB2312" w:cs="仿宋_GB2312"/>
          <w:sz w:val="32"/>
          <w:szCs w:val="32"/>
        </w:rPr>
        <w:t>认真贯彻落实巡视巡察上下联动部署要求，积极探索完善联动机制，推动形成贯通协同、同频共振的监督格局。</w:t>
      </w:r>
    </w:p>
    <w:p w14:paraId="6842E120">
      <w:pPr>
        <w:pStyle w:val="12"/>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1.全力配合上级巡视巡察。</w:t>
      </w:r>
      <w:r>
        <w:rPr>
          <w:rFonts w:hint="eastAsia" w:ascii="仿宋_GB2312" w:hAnsi="仿宋_GB2312" w:eastAsia="仿宋_GB2312" w:cs="仿宋_GB2312"/>
          <w:sz w:val="32"/>
          <w:szCs w:val="32"/>
        </w:rPr>
        <w:t>积极配合市委第七巡察组对白芒铺镇所辖3个村（社区）的提级巡察，主动对接联络，高效完成资料调取（从20个县直单位调取100余份）、后勤保障等各项协调服务工作，保障巡察工作顺利开展。</w:t>
      </w:r>
    </w:p>
    <w:p w14:paraId="0ECB8C00">
      <w:pPr>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2.认真履行整改监督职责。</w:t>
      </w:r>
      <w:r>
        <w:rPr>
          <w:rFonts w:hint="eastAsia" w:ascii="仿宋_GB2312" w:hAnsi="仿宋_GB2312" w:eastAsia="仿宋_GB2312" w:cs="仿宋_GB2312"/>
          <w:sz w:val="32"/>
          <w:szCs w:val="32"/>
        </w:rPr>
        <w:t>联合县纪委监委、县委组织部召开整改会商会，</w:t>
      </w:r>
      <w:r>
        <w:rPr>
          <w:rFonts w:hint="eastAsia" w:ascii="仿宋_GB2312" w:hAnsi="仿宋_GB2312" w:eastAsia="仿宋_GB2312" w:cs="仿宋_GB2312"/>
          <w:sz w:val="32"/>
          <w:szCs w:val="32"/>
          <w:lang w:eastAsia="zh-CN"/>
        </w:rPr>
        <w:t>对县委第七轮巡察各单位整改情况报告和第八轮巡察各单位整改方案</w:t>
      </w:r>
      <w:r>
        <w:rPr>
          <w:rFonts w:hint="eastAsia" w:ascii="仿宋_GB2312" w:hAnsi="仿宋_GB2312" w:eastAsia="仿宋_GB2312" w:cs="仿宋_GB2312"/>
          <w:sz w:val="32"/>
          <w:szCs w:val="32"/>
        </w:rPr>
        <w:t>审核把关。</w:t>
      </w:r>
      <w:r>
        <w:rPr>
          <w:rFonts w:hint="eastAsia" w:ascii="仿宋_GB2312" w:hAnsi="仿宋_GB2312" w:eastAsia="仿宋_GB2312" w:cs="仿宋_GB2312"/>
          <w:sz w:val="32"/>
          <w:szCs w:val="32"/>
          <w:lang w:eastAsia="zh-CN"/>
        </w:rPr>
        <w:t>协调组织</w:t>
      </w:r>
      <w:r>
        <w:rPr>
          <w:rFonts w:hint="eastAsia" w:ascii="仿宋_GB2312" w:hAnsi="仿宋_GB2312" w:eastAsia="仿宋_GB2312" w:cs="仿宋_GB2312"/>
          <w:sz w:val="32"/>
          <w:szCs w:val="32"/>
        </w:rPr>
        <w:t>县纪委监委、县委组织部</w:t>
      </w:r>
      <w:r>
        <w:rPr>
          <w:rFonts w:hint="eastAsia" w:ascii="仿宋_GB2312" w:hAnsi="仿宋_GB2312" w:eastAsia="仿宋_GB2312" w:cs="仿宋_GB2312"/>
          <w:sz w:val="32"/>
          <w:szCs w:val="32"/>
          <w:lang w:eastAsia="zh-CN"/>
        </w:rPr>
        <w:t>相关部室，</w:t>
      </w:r>
      <w:r>
        <w:rPr>
          <w:rFonts w:hint="eastAsia" w:ascii="仿宋_GB2312" w:hAnsi="仿宋_GB2312" w:eastAsia="仿宋_GB2312" w:cs="仿宋_GB2312"/>
          <w:sz w:val="32"/>
          <w:szCs w:val="32"/>
        </w:rPr>
        <w:t>对市委第二机动巡察组巡察白马渡镇建新村、东门街道冯家社区、双塘村的反馈问题整改履行日常监督职责，</w:t>
      </w:r>
      <w:r>
        <w:rPr>
          <w:rFonts w:hint="eastAsia" w:ascii="仿宋_GB2312" w:hAnsi="仿宋_GB2312" w:eastAsia="仿宋_GB2312" w:cs="仿宋_GB2312"/>
          <w:sz w:val="32"/>
          <w:szCs w:val="32"/>
          <w:lang w:eastAsia="zh-CN"/>
        </w:rPr>
        <w:t>巡察</w:t>
      </w:r>
      <w:r>
        <w:rPr>
          <w:rFonts w:hint="eastAsia" w:ascii="仿宋_GB2312" w:hAnsi="仿宋_GB2312" w:eastAsia="仿宋_GB2312" w:cs="仿宋_GB2312"/>
          <w:sz w:val="32"/>
          <w:szCs w:val="32"/>
        </w:rPr>
        <w:t>反馈的</w:t>
      </w:r>
      <w:r>
        <w:rPr>
          <w:rFonts w:hint="eastAsia" w:ascii="仿宋_GB2312" w:hAnsi="仿宋_GB2312" w:eastAsia="仿宋_GB2312" w:cs="仿宋_GB2312"/>
          <w:color w:val="000000" w:themeColor="text1"/>
          <w:sz w:val="32"/>
          <w:szCs w:val="32"/>
        </w:rPr>
        <w:t>100个问题</w:t>
      </w:r>
      <w:r>
        <w:rPr>
          <w:rFonts w:hint="eastAsia" w:ascii="仿宋_GB2312" w:hAnsi="仿宋_GB2312" w:eastAsia="仿宋_GB2312" w:cs="仿宋_GB2312"/>
          <w:sz w:val="32"/>
          <w:szCs w:val="32"/>
        </w:rPr>
        <w:t>已完成整改</w:t>
      </w:r>
      <w:r>
        <w:rPr>
          <w:rFonts w:hint="eastAsia" w:ascii="仿宋_GB2312" w:hAnsi="仿宋_GB2312" w:eastAsia="仿宋_GB2312" w:cs="仿宋_GB2312"/>
          <w:sz w:val="32"/>
          <w:szCs w:val="32"/>
          <w:lang w:val="en-US" w:eastAsia="zh-CN"/>
        </w:rPr>
        <w:t>70</w:t>
      </w:r>
      <w:r>
        <w:rPr>
          <w:rFonts w:hint="eastAsia" w:ascii="仿宋_GB2312" w:hAnsi="仿宋_GB2312" w:eastAsia="仿宋_GB2312" w:cs="仿宋_GB2312"/>
          <w:sz w:val="32"/>
          <w:szCs w:val="32"/>
        </w:rPr>
        <w:t>个、阶段性完成30个，整改完成率</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14:paraId="0F28BF10">
      <w:pPr>
        <w:pStyle w:val="12"/>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eastAsia="黑体"/>
          <w:sz w:val="32"/>
          <w:szCs w:val="32"/>
        </w:rPr>
      </w:pPr>
      <w:r>
        <w:rPr>
          <w:rFonts w:hint="eastAsia" w:ascii="仿宋_GB2312" w:hAnsi="仿宋_GB2312" w:eastAsia="仿宋_GB2312" w:cs="仿宋_GB2312"/>
          <w:b/>
          <w:bCs/>
          <w:sz w:val="32"/>
          <w:szCs w:val="32"/>
        </w:rPr>
        <w:t>3.持续推动</w:t>
      </w:r>
      <w:r>
        <w:rPr>
          <w:rFonts w:hint="eastAsia" w:ascii="仿宋_GB2312" w:hAnsi="仿宋_GB2312" w:eastAsia="仿宋_GB2312" w:cs="仿宋_GB2312"/>
          <w:b/>
          <w:bCs/>
          <w:sz w:val="32"/>
          <w:szCs w:val="32"/>
          <w:lang w:eastAsia="zh-CN"/>
        </w:rPr>
        <w:t>自身</w:t>
      </w:r>
      <w:r>
        <w:rPr>
          <w:rFonts w:hint="eastAsia" w:ascii="仿宋_GB2312" w:hAnsi="仿宋_GB2312" w:eastAsia="仿宋_GB2312" w:cs="仿宋_GB2312"/>
          <w:b/>
          <w:bCs/>
          <w:sz w:val="32"/>
          <w:szCs w:val="32"/>
        </w:rPr>
        <w:t>问题整改。</w:t>
      </w:r>
      <w:r>
        <w:rPr>
          <w:rFonts w:hint="eastAsia" w:ascii="仿宋_GB2312" w:hAnsi="仿宋_GB2312" w:eastAsia="仿宋_GB2312" w:cs="仿宋_GB2312"/>
          <w:sz w:val="32"/>
          <w:szCs w:val="32"/>
        </w:rPr>
        <w:t>深化市委提级巡察县委巡察机构反馈问题的整改</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，完成问题</w:t>
      </w:r>
      <w:r>
        <w:rPr>
          <w:rFonts w:hint="eastAsia" w:ascii="仿宋_GB2312" w:hAnsi="仿宋_GB2312" w:eastAsia="仿宋_GB2312" w:cs="仿宋_GB2312"/>
          <w:sz w:val="32"/>
          <w:szCs w:val="32"/>
          <w:lang w:eastAsia="zh-CN"/>
        </w:rPr>
        <w:t>整改</w:t>
      </w:r>
      <w:r>
        <w:rPr>
          <w:rFonts w:hint="eastAsia" w:ascii="仿宋_GB2312" w:hAnsi="仿宋_GB2312" w:eastAsia="仿宋_GB2312" w:cs="仿宋_GB2312"/>
          <w:sz w:val="32"/>
          <w:szCs w:val="32"/>
        </w:rPr>
        <w:t>销号</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个。按要求汇总整理并上报省委巡视县委、市委提级巡察</w:t>
      </w:r>
      <w:r>
        <w:rPr>
          <w:rFonts w:hint="eastAsia" w:ascii="仿宋_GB2312" w:hAnsi="仿宋_GB2312" w:eastAsia="仿宋_GB2312" w:cs="仿宋_GB2312"/>
          <w:sz w:val="32"/>
          <w:szCs w:val="32"/>
          <w:lang w:eastAsia="zh-CN"/>
        </w:rPr>
        <w:t>县委巡察机构</w:t>
      </w:r>
      <w:r>
        <w:rPr>
          <w:rFonts w:hint="eastAsia" w:ascii="仿宋_GB2312" w:hAnsi="仿宋_GB2312" w:eastAsia="仿宋_GB2312" w:cs="仿宋_GB2312"/>
          <w:sz w:val="32"/>
          <w:szCs w:val="32"/>
        </w:rPr>
        <w:t>等整改资料。</w:t>
      </w:r>
    </w:p>
    <w:p w14:paraId="24E468CB">
      <w:pPr>
        <w:pStyle w:val="9"/>
        <w:spacing w:line="570" w:lineRule="exact"/>
        <w:ind w:firstLine="640"/>
        <w:rPr>
          <w:rFonts w:ascii="Times New Roman" w:hAnsi="Times New Roman" w:eastAsia="黑体"/>
          <w:sz w:val="32"/>
          <w:szCs w:val="32"/>
        </w:rPr>
      </w:pPr>
      <w:r>
        <w:rPr>
          <w:rFonts w:ascii="Times New Roman" w:hAnsi="Times New Roman" w:eastAsia="黑体"/>
          <w:sz w:val="32"/>
          <w:szCs w:val="32"/>
        </w:rPr>
        <w:t>七、存在的问题及原因分析</w:t>
      </w:r>
    </w:p>
    <w:p w14:paraId="2AF31C0A">
      <w:pPr>
        <w:spacing w:line="570" w:lineRule="exact"/>
        <w:ind w:firstLine="640" w:firstLineChars="200"/>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color w:val="000000"/>
          <w:sz w:val="32"/>
          <w:szCs w:val="32"/>
        </w:rPr>
        <w:t>存在的问题：</w:t>
      </w:r>
      <w:r>
        <w:rPr>
          <w:rFonts w:hint="default" w:ascii="仿宋_GB2312" w:hAnsi="仿宋_GB2312" w:eastAsia="仿宋_GB2312" w:cs="仿宋_GB2312"/>
          <w:b/>
          <w:bCs/>
          <w:kern w:val="2"/>
          <w:sz w:val="32"/>
          <w:szCs w:val="32"/>
          <w:lang w:val="en-US" w:eastAsia="zh-CN" w:bidi="ar-SA"/>
        </w:rPr>
        <w:t>一是</w:t>
      </w:r>
      <w:r>
        <w:rPr>
          <w:rFonts w:hint="default" w:ascii="仿宋_GB2312" w:hAnsi="仿宋_GB2312" w:eastAsia="仿宋_GB2312" w:cs="仿宋_GB2312"/>
          <w:kern w:val="2"/>
          <w:sz w:val="32"/>
          <w:szCs w:val="32"/>
          <w:lang w:val="en-US" w:eastAsia="zh-CN" w:bidi="ar-SA"/>
        </w:rPr>
        <w:t>巡察发现深层次问题能力不足，涉及“一把手”和领导班子履职的问题占比</w:t>
      </w:r>
      <w:r>
        <w:rPr>
          <w:rFonts w:hint="eastAsia" w:ascii="仿宋_GB2312" w:hAnsi="仿宋_GB2312" w:eastAsia="仿宋_GB2312" w:cs="仿宋_GB2312"/>
          <w:kern w:val="2"/>
          <w:sz w:val="32"/>
          <w:szCs w:val="32"/>
          <w:lang w:val="en-US" w:eastAsia="zh-CN" w:bidi="ar-SA"/>
        </w:rPr>
        <w:t>很低</w:t>
      </w:r>
      <w:r>
        <w:rPr>
          <w:rFonts w:hint="default" w:ascii="仿宋_GB2312" w:hAnsi="仿宋_GB2312" w:eastAsia="仿宋_GB2312" w:cs="仿宋_GB2312"/>
          <w:kern w:val="2"/>
          <w:sz w:val="32"/>
          <w:szCs w:val="32"/>
          <w:lang w:val="en-US" w:eastAsia="zh-CN" w:bidi="ar-SA"/>
        </w:rPr>
        <w:t>，部分巡察组查找问题偏于表面；</w:t>
      </w:r>
      <w:r>
        <w:rPr>
          <w:rFonts w:hint="default" w:ascii="仿宋_GB2312" w:hAnsi="仿宋_GB2312" w:eastAsia="仿宋_GB2312" w:cs="仿宋_GB2312"/>
          <w:b/>
          <w:bCs/>
          <w:kern w:val="2"/>
          <w:sz w:val="32"/>
          <w:szCs w:val="32"/>
          <w:lang w:val="en-US" w:eastAsia="zh-CN" w:bidi="ar-SA"/>
        </w:rPr>
        <w:t>二是</w:t>
      </w:r>
      <w:r>
        <w:rPr>
          <w:rFonts w:hint="eastAsia" w:ascii="仿宋_GB2312" w:hAnsi="仿宋_GB2312" w:eastAsia="仿宋_GB2312" w:cs="仿宋_GB2312"/>
          <w:kern w:val="2"/>
          <w:sz w:val="32"/>
          <w:szCs w:val="32"/>
          <w:lang w:val="en-US" w:eastAsia="zh-CN" w:bidi="ar-SA"/>
        </w:rPr>
        <w:t>履行整改主体责任的政治意识不强，忽视巡视巡察</w:t>
      </w:r>
      <w:r>
        <w:rPr>
          <w:rFonts w:hint="default" w:ascii="仿宋_GB2312" w:hAnsi="仿宋_GB2312" w:eastAsia="仿宋_GB2312" w:cs="仿宋_GB2312"/>
          <w:kern w:val="2"/>
          <w:sz w:val="32"/>
          <w:szCs w:val="32"/>
          <w:lang w:val="en-US" w:eastAsia="zh-CN" w:bidi="ar-SA"/>
        </w:rPr>
        <w:t>整改</w:t>
      </w:r>
      <w:r>
        <w:rPr>
          <w:rFonts w:hint="eastAsia" w:ascii="仿宋_GB2312" w:hAnsi="仿宋_GB2312" w:eastAsia="仿宋_GB2312" w:cs="仿宋_GB2312"/>
          <w:kern w:val="2"/>
          <w:sz w:val="32"/>
          <w:szCs w:val="32"/>
          <w:lang w:val="en-US" w:eastAsia="zh-CN" w:bidi="ar-SA"/>
        </w:rPr>
        <w:t>工作的现象</w:t>
      </w:r>
      <w:r>
        <w:rPr>
          <w:rFonts w:hint="default" w:ascii="仿宋_GB2312" w:hAnsi="仿宋_GB2312" w:eastAsia="仿宋_GB2312" w:cs="仿宋_GB2312"/>
          <w:kern w:val="2"/>
          <w:sz w:val="32"/>
          <w:szCs w:val="32"/>
          <w:lang w:val="en-US" w:eastAsia="zh-CN" w:bidi="ar-SA"/>
        </w:rPr>
        <w:t>仍</w:t>
      </w:r>
      <w:r>
        <w:rPr>
          <w:rFonts w:hint="eastAsia" w:ascii="仿宋_GB2312" w:hAnsi="仿宋_GB2312" w:eastAsia="仿宋_GB2312" w:cs="仿宋_GB2312"/>
          <w:kern w:val="2"/>
          <w:sz w:val="32"/>
          <w:szCs w:val="32"/>
          <w:lang w:val="en-US" w:eastAsia="zh-CN" w:bidi="ar-SA"/>
        </w:rPr>
        <w:t>时</w:t>
      </w:r>
      <w:r>
        <w:rPr>
          <w:rFonts w:hint="default" w:ascii="仿宋_GB2312" w:hAnsi="仿宋_GB2312" w:eastAsia="仿宋_GB2312" w:cs="仿宋_GB2312"/>
          <w:kern w:val="2"/>
          <w:sz w:val="32"/>
          <w:szCs w:val="32"/>
          <w:lang w:val="en-US" w:eastAsia="zh-CN" w:bidi="ar-SA"/>
        </w:rPr>
        <w:t>有发生；</w:t>
      </w:r>
      <w:r>
        <w:rPr>
          <w:rFonts w:hint="default" w:ascii="仿宋_GB2312" w:hAnsi="仿宋_GB2312" w:eastAsia="仿宋_GB2312" w:cs="仿宋_GB2312"/>
          <w:b/>
          <w:bCs/>
          <w:kern w:val="2"/>
          <w:sz w:val="32"/>
          <w:szCs w:val="32"/>
          <w:lang w:val="en-US" w:eastAsia="zh-CN" w:bidi="ar-SA"/>
        </w:rPr>
        <w:t>三是</w:t>
      </w:r>
      <w:r>
        <w:rPr>
          <w:rFonts w:hint="default" w:ascii="仿宋_GB2312" w:hAnsi="仿宋_GB2312" w:eastAsia="仿宋_GB2312" w:cs="仿宋_GB2312"/>
          <w:kern w:val="2"/>
          <w:sz w:val="32"/>
          <w:szCs w:val="32"/>
          <w:lang w:val="en-US" w:eastAsia="zh-CN" w:bidi="ar-SA"/>
        </w:rPr>
        <w:t>村（社区）巡察针对性有待提升，部分巡察组走村入户覆盖率</w:t>
      </w:r>
      <w:r>
        <w:rPr>
          <w:rFonts w:hint="eastAsia" w:ascii="仿宋_GB2312" w:hAnsi="仿宋_GB2312" w:eastAsia="仿宋_GB2312" w:cs="仿宋_GB2312"/>
          <w:kern w:val="2"/>
          <w:sz w:val="32"/>
          <w:szCs w:val="32"/>
          <w:lang w:val="en-US" w:eastAsia="zh-CN" w:bidi="ar-SA"/>
        </w:rPr>
        <w:t>和时间保障</w:t>
      </w:r>
      <w:r>
        <w:rPr>
          <w:rFonts w:hint="default" w:ascii="仿宋_GB2312" w:hAnsi="仿宋_GB2312" w:eastAsia="仿宋_GB2312" w:cs="仿宋_GB2312"/>
          <w:kern w:val="2"/>
          <w:sz w:val="32"/>
          <w:szCs w:val="32"/>
          <w:lang w:val="en-US" w:eastAsia="zh-CN" w:bidi="ar-SA"/>
        </w:rPr>
        <w:t>不足，发现群众急难愁盼问题占比偏低。</w:t>
      </w:r>
    </w:p>
    <w:p w14:paraId="2C2DCFB6">
      <w:pPr>
        <w:spacing w:line="570" w:lineRule="exact"/>
        <w:ind w:firstLine="640" w:firstLineChars="200"/>
        <w:rPr>
          <w:rFonts w:hint="eastAsia" w:eastAsia="黑体"/>
          <w:sz w:val="32"/>
          <w:szCs w:val="32"/>
        </w:rPr>
      </w:pPr>
      <w:r>
        <w:rPr>
          <w:rFonts w:eastAsia="黑体"/>
          <w:sz w:val="32"/>
          <w:szCs w:val="32"/>
        </w:rPr>
        <w:t>八、下一步改进措施</w:t>
      </w:r>
    </w:p>
    <w:p w14:paraId="3ED59407">
      <w:pPr>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.加强队伍建设。一是优化队伍结构。</w:t>
      </w:r>
      <w:r>
        <w:rPr>
          <w:rFonts w:hint="eastAsia" w:ascii="仿宋_GB2312" w:hAnsi="仿宋_GB2312" w:eastAsia="仿宋_GB2312" w:cs="仿宋_GB2312"/>
          <w:sz w:val="32"/>
          <w:szCs w:val="32"/>
        </w:rPr>
        <w:t>结合巡察任务需要，进一步选优配强专职巡察干部，注重选拔政治素质好、业务能力强、敢于坚持原则的干部充实巡察队伍。</w:t>
      </w:r>
      <w:r>
        <w:rPr>
          <w:rFonts w:hint="eastAsia" w:ascii="仿宋_GB2312" w:hAnsi="仿宋_GB2312" w:eastAsia="仿宋_GB2312" w:cs="仿宋_GB2312"/>
          <w:b/>
          <w:bCs/>
          <w:sz w:val="32"/>
          <w:szCs w:val="32"/>
        </w:rPr>
        <w:t>二是提升业务能力。</w:t>
      </w:r>
      <w:r>
        <w:rPr>
          <w:rFonts w:hint="eastAsia" w:ascii="仿宋_GB2312" w:hAnsi="仿宋_GB2312" w:eastAsia="仿宋_GB2312" w:cs="仿宋_GB2312"/>
          <w:sz w:val="32"/>
          <w:szCs w:val="32"/>
        </w:rPr>
        <w:t>围绕政治巡察要求、问题发现技巧、报告撰写规范、谈话策略、信息化应用等重点内容，分层分类开展精准化、实战化培训。计划举办巡察业务骨干培训班2期、专题研讨4次。</w:t>
      </w:r>
      <w:r>
        <w:rPr>
          <w:rFonts w:hint="eastAsia" w:ascii="仿宋_GB2312" w:hAnsi="仿宋_GB2312" w:eastAsia="仿宋_GB2312" w:cs="仿宋_GB2312"/>
          <w:b/>
          <w:bCs/>
          <w:sz w:val="32"/>
          <w:szCs w:val="32"/>
        </w:rPr>
        <w:t>三是严明纪律作风。</w:t>
      </w:r>
      <w:r>
        <w:rPr>
          <w:rFonts w:hint="eastAsia" w:ascii="仿宋_GB2312" w:hAnsi="仿宋_GB2312" w:eastAsia="仿宋_GB2312" w:cs="仿宋_GB2312"/>
          <w:sz w:val="32"/>
          <w:szCs w:val="32"/>
        </w:rPr>
        <w:t>持续深化作风建设，严格执行巡察干部行为规范，加强“八小时外”监督管理。常态化开展警示教育，引导巡察干部知敬畏、存戒惧、守底线。</w:t>
      </w:r>
    </w:p>
    <w:p w14:paraId="128C4326">
      <w:pPr>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.建强《县委巡察工作人才库》。一是优化入库标准。</w:t>
      </w:r>
      <w:r>
        <w:rPr>
          <w:rFonts w:hint="eastAsia" w:ascii="仿宋_GB2312" w:hAnsi="仿宋_GB2312" w:eastAsia="仿宋_GB2312" w:cs="仿宋_GB2312"/>
          <w:sz w:val="32"/>
          <w:szCs w:val="32"/>
        </w:rPr>
        <w:t>修订完善人才库管理办法，明确入库人员的政治素质、专业能力、工作经历等标准。</w:t>
      </w:r>
      <w:r>
        <w:rPr>
          <w:rFonts w:hint="eastAsia" w:ascii="仿宋_GB2312" w:hAnsi="仿宋_GB2312" w:eastAsia="仿宋_GB2312" w:cs="仿宋_GB2312"/>
          <w:b/>
          <w:bCs/>
          <w:sz w:val="32"/>
          <w:szCs w:val="32"/>
        </w:rPr>
        <w:t>二是动态调整管理。</w:t>
      </w:r>
      <w:r>
        <w:rPr>
          <w:rFonts w:hint="eastAsia" w:ascii="仿宋_GB2312" w:hAnsi="仿宋_GB2312" w:eastAsia="仿宋_GB2312" w:cs="仿宋_GB2312"/>
          <w:sz w:val="32"/>
          <w:szCs w:val="32"/>
        </w:rPr>
        <w:t>定期对人才库进行评估和更新，及时补充新鲜血液，淘汰不符合要求或不适宜继续入库的人员。</w:t>
      </w:r>
      <w:r>
        <w:rPr>
          <w:rFonts w:hint="eastAsia" w:ascii="仿宋_GB2312" w:hAnsi="仿宋_GB2312" w:eastAsia="仿宋_GB2312" w:cs="仿宋_GB2312"/>
          <w:b/>
          <w:bCs/>
          <w:sz w:val="32"/>
          <w:szCs w:val="32"/>
        </w:rPr>
        <w:t>三是精准调配使用。</w:t>
      </w:r>
      <w:r>
        <w:rPr>
          <w:rFonts w:hint="eastAsia" w:ascii="仿宋_GB2312" w:hAnsi="仿宋_GB2312" w:eastAsia="仿宋_GB2312" w:cs="仿宋_GB2312"/>
          <w:sz w:val="32"/>
          <w:szCs w:val="32"/>
        </w:rPr>
        <w:t>根据每轮巡察对象特点和任务需求，从人才库中精准抽调财务、审计、工程、法律、党建、农业农村等专业人才，组建专业化巡察组或机动支援小组，提升巡察监督的专业性和精准度。</w:t>
      </w:r>
      <w:r>
        <w:rPr>
          <w:rFonts w:hint="eastAsia" w:ascii="仿宋_GB2312" w:hAnsi="仿宋_GB2312" w:eastAsia="仿宋_GB2312" w:cs="仿宋_GB2312"/>
          <w:b/>
          <w:bCs/>
          <w:sz w:val="32"/>
          <w:szCs w:val="32"/>
        </w:rPr>
        <w:t>四是加强培养激励。</w:t>
      </w:r>
      <w:r>
        <w:rPr>
          <w:rFonts w:hint="eastAsia" w:ascii="仿宋_GB2312" w:hAnsi="仿宋_GB2312" w:eastAsia="仿宋_GB2312" w:cs="仿宋_GB2312"/>
          <w:sz w:val="32"/>
          <w:szCs w:val="32"/>
        </w:rPr>
        <w:t>将参与巡察工作作为培养锻炼干部的重要平台，对表现突出的人才库成员，及时向组织部门推荐。</w:t>
      </w:r>
    </w:p>
    <w:p w14:paraId="15C93B7A">
      <w:pPr>
        <w:spacing w:line="580" w:lineRule="exact"/>
        <w:ind w:firstLine="643" w:firstLineChars="200"/>
        <w:rPr>
          <w:rFonts w:eastAsia="黑体"/>
          <w:sz w:val="32"/>
          <w:szCs w:val="32"/>
        </w:rPr>
      </w:pPr>
      <w:r>
        <w:rPr>
          <w:rFonts w:hint="eastAsia" w:ascii="仿宋_GB2312" w:hAnsi="仿宋_GB2312" w:eastAsia="仿宋_GB2312" w:cs="仿宋_GB2312"/>
          <w:b/>
          <w:sz w:val="32"/>
          <w:szCs w:val="32"/>
        </w:rPr>
        <w:t>3．</w:t>
      </w:r>
      <w:r>
        <w:rPr>
          <w:rFonts w:hint="eastAsia" w:ascii="仿宋_GB2312" w:hAnsi="仿宋_GB2312" w:eastAsia="仿宋_GB2312" w:cs="仿宋_GB2312"/>
          <w:sz w:val="32"/>
          <w:szCs w:val="32"/>
        </w:rPr>
        <w:t>明确职责，加强项目管理。一是应针对每一个项目制定工作目标，科学编制和细化预算，做到预算有目标，执行有细则，控制专项支出，提高资金的使用效益。</w:t>
      </w:r>
    </w:p>
    <w:p w14:paraId="31A117C0">
      <w:pPr>
        <w:spacing w:line="570" w:lineRule="exact"/>
        <w:ind w:firstLine="640" w:firstLineChars="200"/>
        <w:rPr>
          <w:rFonts w:eastAsia="黑体"/>
          <w:sz w:val="32"/>
          <w:szCs w:val="32"/>
        </w:rPr>
      </w:pPr>
      <w:r>
        <w:rPr>
          <w:rFonts w:eastAsia="黑体"/>
          <w:sz w:val="32"/>
          <w:szCs w:val="32"/>
        </w:rPr>
        <w:t>九、部门整体支出绩效自评结果拟应用和公开情况</w:t>
      </w:r>
    </w:p>
    <w:p w14:paraId="4636BC17">
      <w:pPr>
        <w:keepNext w:val="0"/>
        <w:keepLines w:val="0"/>
        <w:pageBreakBefore w:val="0"/>
        <w:numPr>
          <w:ilvl w:val="0"/>
          <w:numId w:val="0"/>
        </w:numPr>
        <w:kinsoku/>
        <w:wordWrap/>
        <w:overflowPunct/>
        <w:topLinePunct w:val="0"/>
        <w:autoSpaceDE/>
        <w:autoSpaceDN/>
        <w:bidi w:val="0"/>
        <w:spacing w:line="560" w:lineRule="exact"/>
        <w:ind w:leftChars="0" w:firstLine="640"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color w:val="000000"/>
          <w:kern w:val="0"/>
          <w:sz w:val="32"/>
          <w:szCs w:val="32"/>
          <w:lang w:val="en-US" w:eastAsia="zh-CN" w:bidi="ar-SA"/>
        </w:rPr>
        <w:t>本年度绩效自评结果为98分。按规定时间内将2025年度整体部门支出绩效自评报告进行公开，并接受社会监督。</w:t>
      </w:r>
      <w:r>
        <w:rPr>
          <w:rFonts w:hint="eastAsia" w:ascii="仿宋_GB2312" w:hAnsi="仿宋_GB2312" w:eastAsia="仿宋_GB2312" w:cs="仿宋_GB2312"/>
          <w:b/>
          <w:bCs/>
          <w:sz w:val="32"/>
          <w:szCs w:val="32"/>
          <w:lang w:val="en-US" w:eastAsia="zh-CN"/>
        </w:rPr>
        <w:t xml:space="preserve">  </w:t>
      </w:r>
    </w:p>
    <w:p w14:paraId="23AE944D">
      <w:pPr>
        <w:spacing w:line="570" w:lineRule="exact"/>
        <w:ind w:firstLine="640" w:firstLineChars="200"/>
        <w:rPr>
          <w:rFonts w:eastAsia="黑体"/>
          <w:sz w:val="32"/>
          <w:szCs w:val="32"/>
        </w:rPr>
      </w:pPr>
      <w:r>
        <w:rPr>
          <w:rFonts w:hint="eastAsia" w:eastAsia="黑体"/>
          <w:sz w:val="32"/>
          <w:szCs w:val="32"/>
        </w:rPr>
        <w:t>十、</w:t>
      </w:r>
      <w:r>
        <w:rPr>
          <w:rFonts w:eastAsia="黑体"/>
          <w:sz w:val="32"/>
          <w:szCs w:val="32"/>
        </w:rPr>
        <w:t>其他需要说明的情况</w:t>
      </w:r>
    </w:p>
    <w:p w14:paraId="458919C9">
      <w:pPr>
        <w:spacing w:afterLines="50" w:line="600" w:lineRule="exact"/>
        <w:rPr>
          <w:rFonts w:eastAsia="黑体"/>
          <w:sz w:val="32"/>
          <w:szCs w:val="32"/>
        </w:rPr>
      </w:pPr>
    </w:p>
    <w:p w14:paraId="45B31D94"/>
    <w:sectPr>
      <w:headerReference r:id="rId5" w:type="first"/>
      <w:footerReference r:id="rId7" w:type="first"/>
      <w:headerReference r:id="rId3" w:type="default"/>
      <w:headerReference r:id="rId4" w:type="even"/>
      <w:footerReference r:id="rId6" w:type="even"/>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8015E">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CB90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797B0">
    <w:pPr>
      <w:pStyle w:val="5"/>
      <w:widowControl w:val="0"/>
      <w:pBdr>
        <w:top w:val="none" w:color="auto" w:sz="0" w:space="1"/>
        <w:left w:val="none" w:color="auto" w:sz="0" w:space="4"/>
        <w:bottom w:val="none" w:color="auto" w:sz="0" w:space="1"/>
        <w:right w:val="none" w:color="auto" w:sz="0" w:space="4"/>
        <w:between w:val="none" w:color="auto" w:sz="0" w:space="0"/>
      </w:pBdr>
      <w:tabs>
        <w:tab w:val="left" w:pos="805"/>
        <w:tab w:val="clear" w:pos="4153"/>
      </w:tabs>
      <w:snapToGrid w:val="0"/>
      <w:jc w:val="both"/>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8C5F4">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733C3">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890E1B"/>
    <w:multiLevelType w:val="singleLevel"/>
    <w:tmpl w:val="5E890E1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16CDA"/>
    <w:rsid w:val="00087574"/>
    <w:rsid w:val="001C7B0A"/>
    <w:rsid w:val="00216CDA"/>
    <w:rsid w:val="00435769"/>
    <w:rsid w:val="00C3789E"/>
    <w:rsid w:val="00E25723"/>
    <w:rsid w:val="153C5596"/>
    <w:rsid w:val="29BC10E9"/>
    <w:rsid w:val="58FE7456"/>
    <w:rsid w:val="693D5C7F"/>
    <w:rsid w:val="6A4B08CD"/>
    <w:rsid w:val="76464470"/>
    <w:rsid w:val="F78A9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1"/>
    <w:unhideWhenUsed/>
    <w:qFormat/>
    <w:uiPriority w:val="99"/>
    <w:pPr>
      <w:widowControl/>
      <w:spacing w:after="120"/>
      <w:ind w:left="420" w:leftChars="200"/>
      <w:jc w:val="left"/>
    </w:pPr>
    <w:rPr>
      <w:rFonts w:ascii="宋体" w:hAnsi="宋体" w:eastAsia="宋体" w:cs="宋体"/>
      <w:kern w:val="0"/>
      <w:sz w:val="24"/>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rPr>
  </w:style>
  <w:style w:type="paragraph" w:styleId="9">
    <w:name w:val="List Paragraph"/>
    <w:basedOn w:val="1"/>
    <w:qFormat/>
    <w:uiPriority w:val="99"/>
    <w:pPr>
      <w:ind w:firstLine="420" w:firstLineChars="200"/>
    </w:pPr>
    <w:rPr>
      <w:rFonts w:ascii="Calibri" w:hAnsi="Calibri"/>
      <w:kern w:val="0"/>
      <w:sz w:val="28"/>
      <w:szCs w:val="22"/>
    </w:rPr>
  </w:style>
  <w:style w:type="character" w:customStyle="1" w:styleId="10">
    <w:name w:val="页眉 Char"/>
    <w:basedOn w:val="8"/>
    <w:link w:val="5"/>
    <w:qFormat/>
    <w:uiPriority w:val="0"/>
    <w:rPr>
      <w:rFonts w:ascii="Times New Roman" w:hAnsi="Times New Roman" w:eastAsia="宋体" w:cs="Times New Roman"/>
      <w:kern w:val="2"/>
      <w:sz w:val="18"/>
      <w:szCs w:val="18"/>
    </w:rPr>
  </w:style>
  <w:style w:type="character" w:customStyle="1" w:styleId="11">
    <w:name w:val="页脚 Char"/>
    <w:basedOn w:val="8"/>
    <w:link w:val="4"/>
    <w:qFormat/>
    <w:uiPriority w:val="0"/>
    <w:rPr>
      <w:rFonts w:ascii="Times New Roman" w:hAnsi="Times New Roman" w:eastAsia="宋体" w:cs="Times New Roman"/>
      <w:kern w:val="2"/>
      <w:sz w:val="18"/>
      <w:szCs w:val="18"/>
    </w:rPr>
  </w:style>
  <w:style w:type="paragraph" w:customStyle="1" w:styleId="12">
    <w:name w:val="样式 文字 + 首行缩进:  2 字符3"/>
    <w:basedOn w:val="1"/>
    <w:qFormat/>
    <w:uiPriority w:val="99"/>
    <w:pPr>
      <w:spacing w:line="360" w:lineRule="auto"/>
      <w:jc w:val="left"/>
    </w:pPr>
    <w:rPr>
      <w:sz w:val="28"/>
      <w:szCs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3593</Words>
  <Characters>3733</Characters>
  <Lines>1</Lines>
  <Paragraphs>7</Paragraphs>
  <TotalTime>0</TotalTime>
  <ScaleCrop>false</ScaleCrop>
  <LinksUpToDate>false</LinksUpToDate>
  <CharactersWithSpaces>3752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2026-05-19T11:18:00Z</dcterms:created>
  <dc:creator>29448</dc:creator>
  <cp:lastModifiedBy>kylin</cp:lastModifiedBy>
  <dcterms:modified xsi:type="dcterms:W3CDTF">2026-09-08T16:08:53Z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KSOTemplateDocerSaveRecord">
    <vt:lpwstr>eyJoZGlkIjoiMmI3NWQ5Y2YyOTE3NGEyZDMxZmYxZGE2YTdmOTBkZTAiLCJ1c2VySWQiOiI0MjAzMjUzNjMifQ==</vt:lpwstr>
  </property>
  <property fmtid="{D5CDD505-2E9C-101B-9397-08002B2CF9AE}" pid="4" name="ICV">
    <vt:lpwstr>93821CB3BAF3462B8067F76E3716B430_12</vt:lpwstr>
  </property>
</Properties>
</file>