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28"/>
          <w:szCs w:val="28"/>
        </w:rPr>
      </w:pPr>
    </w:p>
    <w:p>
      <w:pPr>
        <w:pStyle w:val="12"/>
        <w:jc w:val="center"/>
        <w:rPr>
          <w:sz w:val="84"/>
          <w:szCs w:val="84"/>
        </w:rPr>
      </w:pPr>
      <w:r>
        <w:rPr>
          <w:sz w:val="56"/>
        </w:rPr>
        <mc:AlternateContent>
          <mc:Choice Requires="wps">
            <w:drawing>
              <wp:anchor distT="0" distB="0" distL="0" distR="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026" name="文本框 1"/>
                <wp:cNvGraphicFramePr/>
                <a:graphic xmlns:a="http://schemas.openxmlformats.org/drawingml/2006/main">
                  <a:graphicData uri="http://schemas.microsoft.com/office/word/2010/wordprocessingShape">
                    <wps:wsp>
                      <wps:cNvSpPr/>
                      <wps:spPr>
                        <a:xfrm>
                          <a:off x="0" y="0"/>
                          <a:ext cx="1523365" cy="517525"/>
                        </a:xfrm>
                        <a:prstGeom prst="rect">
                          <a:avLst/>
                        </a:prstGeom>
                        <a:solidFill>
                          <a:srgbClr val="FFFFFF"/>
                        </a:solidFill>
                        <a:ln>
                          <a:noFill/>
                        </a:ln>
                      </wps:spPr>
                      <wps:txbx>
                        <w:txbxContent>
                          <w:p/>
                        </w:txbxContent>
                      </wps:txbx>
                      <wps:bodyPr vert="horz" wrap="square" lIns="91440" tIns="45720" rIns="91440" bIns="45720" anchor="t">
                        <a:noAutofit/>
                      </wps:bodyPr>
                    </wps:wsp>
                  </a:graphicData>
                </a:graphic>
              </wp:anchor>
            </w:drawing>
          </mc:Choice>
          <mc:Fallback>
            <w:pict>
              <v:rect id="文本框 1" o:spid="_x0000_s1026" o:spt="1" style="position:absolute;left:0pt;margin-left:-18.6pt;margin-top:-23.4pt;height:40.75pt;width:119.95pt;z-index:251659264;mso-width-relative:page;mso-height-relative:page;" fillcolor="#FFFFFF" filled="t" stroked="f" coordsize="21600,21600" o:gfxdata="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lx64HYAAAACgEAAA8AAAAAAAAAAQAgAAAAIgAAAGRycy9kb3ducmV2LnhtbFBLAQIUABQA&#10;AAAIAIdO4kAmT3ra8AEAANcDAAAOAAAAAAAAAAEAIAAAACcBAABkcnMvZTJvRG9jLnhtbFBLBQYA&#10;AAAABgAGAFkBAACJBQAAAAA=&#10;">
                <v:fill on="t" focussize="0,0"/>
                <v:stroke on="f"/>
                <v:imagedata o:title=""/>
                <o:lock v:ext="edit" aspectratio="f"/>
                <v:textbox>
                  <w:txbxContent>
                    <w:p/>
                  </w:txbxContent>
                </v:textbox>
              </v:rect>
            </w:pict>
          </mc:Fallback>
        </mc:AlternateContent>
      </w: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2025年度</w:t>
      </w: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白马渡镇人民政府部门决算</w:t>
      </w:r>
    </w:p>
    <w:p>
      <w:pPr>
        <w:pStyle w:val="12"/>
        <w:jc w:val="center"/>
        <w:rPr>
          <w:rFonts w:hint="eastAsia" w:ascii="方正小标宋_GBK" w:hAnsi="方正小标宋_GBK" w:eastAsia="方正小标宋_GBK" w:cs="方正小标宋_GBK"/>
          <w:sz w:val="56"/>
          <w:szCs w:val="56"/>
        </w:rPr>
      </w:pPr>
    </w:p>
    <w:p>
      <w:pPr>
        <w:pStyle w:val="12"/>
        <w:jc w:val="center"/>
        <w:rPr>
          <w:sz w:val="56"/>
          <w:szCs w:val="56"/>
        </w:rPr>
      </w:pPr>
    </w:p>
    <w:p>
      <w:pPr>
        <w:pStyle w:val="12"/>
        <w:spacing w:line="500" w:lineRule="exact"/>
        <w:jc w:val="center"/>
        <w:rPr>
          <w:b/>
          <w:sz w:val="36"/>
          <w:szCs w:val="28"/>
        </w:rPr>
      </w:pPr>
      <w:r>
        <w:rPr>
          <w:rFonts w:hint="eastAsia"/>
          <w:b/>
          <w:sz w:val="36"/>
          <w:szCs w:val="28"/>
        </w:rPr>
        <w:t>目录</w:t>
      </w:r>
    </w:p>
    <w:p>
      <w:pPr>
        <w:pStyle w:val="12"/>
        <w:spacing w:line="500" w:lineRule="exact"/>
        <w:rPr>
          <w:rFonts w:hint="eastAsia" w:hAnsi="黑体"/>
          <w:bCs/>
          <w:sz w:val="28"/>
          <w:szCs w:val="28"/>
        </w:rPr>
      </w:pPr>
      <w:r>
        <w:rPr>
          <w:rFonts w:hint="eastAsia" w:hAnsi="黑体"/>
          <w:bCs/>
          <w:sz w:val="28"/>
          <w:szCs w:val="28"/>
        </w:rPr>
        <w:t>第一部分 白马渡镇人民政府概况</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2"/>
        <w:spacing w:line="500" w:lineRule="exact"/>
        <w:rPr>
          <w:rFonts w:hint="eastAsia" w:hAnsi="黑体"/>
          <w:bCs/>
          <w:sz w:val="28"/>
          <w:szCs w:val="28"/>
        </w:rPr>
      </w:pPr>
      <w:r>
        <w:rPr>
          <w:rFonts w:hint="eastAsia" w:hAnsi="黑体"/>
          <w:bCs/>
          <w:sz w:val="28"/>
          <w:szCs w:val="28"/>
        </w:rPr>
        <w:t>第二部分 部门决算表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2"/>
        <w:spacing w:line="500" w:lineRule="exact"/>
        <w:rPr>
          <w:rFonts w:hint="eastAsia" w:hAnsi="黑体"/>
          <w:bCs/>
          <w:sz w:val="28"/>
          <w:szCs w:val="28"/>
        </w:rPr>
      </w:pPr>
      <w:r>
        <w:rPr>
          <w:rFonts w:hint="eastAsia" w:hAnsi="黑体"/>
          <w:bCs/>
          <w:sz w:val="28"/>
          <w:szCs w:val="28"/>
        </w:rPr>
        <w:t>第三部分 部门决算情况说明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rPr>
        <w:t>2025年</w:t>
      </w:r>
      <w:r>
        <w:rPr>
          <w:rFonts w:hint="eastAsia" w:ascii="仿宋_GB2312" w:hAnsi="仿宋_GB2312" w:eastAsia="仿宋_GB2312" w:cs="仿宋_GB2312"/>
          <w:sz w:val="28"/>
          <w:szCs w:val="28"/>
        </w:rPr>
        <w:t>度预算绩效情况的说明</w:t>
      </w:r>
    </w:p>
    <w:p>
      <w:pPr>
        <w:pStyle w:val="12"/>
        <w:spacing w:line="500" w:lineRule="exact"/>
        <w:rPr>
          <w:rFonts w:hint="eastAsia" w:hAnsi="黑体"/>
          <w:bCs/>
          <w:sz w:val="28"/>
          <w:szCs w:val="28"/>
        </w:rPr>
      </w:pPr>
      <w:r>
        <w:rPr>
          <w:rFonts w:hint="eastAsia" w:hAnsi="黑体"/>
          <w:bCs/>
          <w:sz w:val="28"/>
          <w:szCs w:val="28"/>
        </w:rPr>
        <w:t>第四部分 名词解释</w:t>
      </w:r>
    </w:p>
    <w:p>
      <w:pPr>
        <w:pStyle w:val="12"/>
        <w:spacing w:line="500" w:lineRule="exact"/>
        <w:rPr>
          <w:rFonts w:hint="eastAsia" w:hAnsi="黑体"/>
          <w:bCs/>
          <w:sz w:val="28"/>
          <w:szCs w:val="28"/>
        </w:rPr>
      </w:pPr>
      <w:r>
        <w:rPr>
          <w:rFonts w:hint="eastAsia" w:hAnsi="黑体"/>
          <w:bCs/>
          <w:sz w:val="28"/>
          <w:szCs w:val="28"/>
        </w:rPr>
        <w:t>第五部分 附件</w:t>
      </w:r>
    </w:p>
    <w:p>
      <w:pPr>
        <w:pStyle w:val="12"/>
        <w:spacing w:line="500" w:lineRule="exact"/>
        <w:rPr>
          <w:rFonts w:hint="eastAsia" w:hAnsi="黑体"/>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道县白马渡镇人民政府</w:t>
      </w: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sz w:val="72"/>
          <w:szCs w:val="72"/>
        </w:rPr>
      </w:pPr>
    </w:p>
    <w:p>
      <w:pPr>
        <w:pStyle w:val="2"/>
        <w:rPr>
          <w:sz w:val="72"/>
          <w:szCs w:val="72"/>
        </w:rPr>
      </w:pPr>
    </w:p>
    <w:p>
      <w:pPr>
        <w:pStyle w:val="3"/>
        <w:ind w:firstLine="1440"/>
        <w:rPr>
          <w:rFonts w:hint="eastAsia"/>
          <w:sz w:val="72"/>
          <w:szCs w:val="72"/>
        </w:rPr>
      </w:pPr>
    </w:p>
    <w:p>
      <w:pPr>
        <w:rPr>
          <w:sz w:val="72"/>
          <w:szCs w:val="72"/>
        </w:rPr>
      </w:pPr>
    </w:p>
    <w:p>
      <w:pPr>
        <w:pStyle w:val="2"/>
        <w:rPr>
          <w:sz w:val="72"/>
          <w:szCs w:val="72"/>
        </w:rPr>
      </w:pPr>
    </w:p>
    <w:p>
      <w:pPr>
        <w:pStyle w:val="3"/>
        <w:ind w:firstLine="1440"/>
        <w:rPr>
          <w:rFonts w:hint="eastAsia"/>
          <w:sz w:val="72"/>
          <w:szCs w:val="72"/>
        </w:rPr>
      </w:pPr>
    </w:p>
    <w:p>
      <w:pPr>
        <w:rPr>
          <w:sz w:val="72"/>
          <w:szCs w:val="72"/>
        </w:rPr>
      </w:pPr>
    </w:p>
    <w:p>
      <w:pPr>
        <w:rPr>
          <w:sz w:val="28"/>
          <w:szCs w:val="28"/>
        </w:rPr>
      </w:pPr>
    </w:p>
    <w:p>
      <w:pPr>
        <w:pStyle w:val="2"/>
      </w:pPr>
    </w:p>
    <w:p>
      <w:pPr>
        <w:pStyle w:val="13"/>
        <w:numPr>
          <w:ilvl w:val="0"/>
          <w:numId w:val="1"/>
        </w:numPr>
        <w:ind w:firstLineChars="0"/>
        <w:jc w:val="left"/>
        <w:rPr>
          <w:rFonts w:hint="eastAsia" w:ascii="黑体" w:hAnsi="黑体" w:eastAsia="黑体" w:cs="黑体"/>
          <w:sz w:val="32"/>
          <w:szCs w:val="32"/>
        </w:rPr>
      </w:pPr>
      <w:r>
        <w:rPr>
          <w:rFonts w:hint="eastAsia" w:ascii="黑体" w:hAnsi="黑体" w:eastAsia="黑体" w:cs="黑体"/>
          <w:sz w:val="32"/>
          <w:szCs w:val="32"/>
        </w:rPr>
        <w:t>部门职责</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（一）</w:t>
      </w:r>
      <w:r>
        <w:rPr>
          <w:rFonts w:hint="eastAsia" w:ascii="仿宋" w:hAnsi="仿宋" w:eastAsia="仿宋" w:cs="仿宋"/>
          <w:color w:val="010101"/>
          <w:sz w:val="32"/>
          <w:szCs w:val="32"/>
        </w:rPr>
        <w:t>执行本级人民代表大会的决议和上级国家行政机关的决定和命令，发布决定和命令。</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（二）</w:t>
      </w:r>
      <w:r>
        <w:rPr>
          <w:rFonts w:hint="eastAsia" w:ascii="仿宋" w:hAnsi="仿宋" w:eastAsia="仿宋" w:cs="仿宋"/>
          <w:color w:val="010101"/>
          <w:sz w:val="32"/>
          <w:szCs w:val="32"/>
        </w:rPr>
        <w:t>执行本行政区域内的经济和社会发展计划，加强公共设施的建设和管理，发展各项服务事业。</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（三）</w:t>
      </w:r>
      <w:r>
        <w:rPr>
          <w:rFonts w:hint="eastAsia" w:ascii="仿宋" w:hAnsi="仿宋" w:eastAsia="仿宋" w:cs="仿宋"/>
          <w:color w:val="010101"/>
          <w:sz w:val="32"/>
          <w:szCs w:val="32"/>
        </w:rPr>
        <w:t>依法管理本级财政、执行本级预算。</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（四）</w:t>
      </w:r>
      <w:r>
        <w:rPr>
          <w:rFonts w:hint="eastAsia" w:ascii="仿宋" w:hAnsi="仿宋" w:eastAsia="仿宋" w:cs="仿宋"/>
          <w:color w:val="010101"/>
          <w:sz w:val="32"/>
          <w:szCs w:val="32"/>
        </w:rPr>
        <w:t>为农民提供有效的科技、教育、文化、信息、卫生、体育、医疗、人才开发、劳动就业、安全生产等方面的服务。</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（五）</w:t>
      </w:r>
      <w:r>
        <w:rPr>
          <w:rFonts w:hint="eastAsia" w:ascii="仿宋" w:hAnsi="仿宋" w:eastAsia="仿宋" w:cs="仿宋"/>
          <w:color w:val="010101"/>
          <w:sz w:val="32"/>
          <w:szCs w:val="32"/>
        </w:rPr>
        <w:t>保护国有资产和集体所有的财产，保护公民私人所有的合法财产、保障公民的人身权利、民主权利和其他权利，保护各种组织的合法权益。</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（六）</w:t>
      </w:r>
      <w:r>
        <w:rPr>
          <w:rFonts w:hint="eastAsia" w:ascii="仿宋" w:hAnsi="仿宋" w:eastAsia="仿宋" w:cs="仿宋"/>
          <w:color w:val="010101"/>
          <w:sz w:val="32"/>
          <w:szCs w:val="32"/>
        </w:rPr>
        <w:t>开展社会主义民主与法制教育，加强社会治安综合治理，调解民事纠纷，维护社会秩序。</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（七）</w:t>
      </w:r>
      <w:r>
        <w:rPr>
          <w:rFonts w:hint="eastAsia" w:ascii="仿宋" w:hAnsi="仿宋" w:eastAsia="仿宋" w:cs="仿宋"/>
          <w:color w:val="010101"/>
          <w:sz w:val="32"/>
          <w:szCs w:val="32"/>
        </w:rPr>
        <w:t>推行乡村振兴，推进新农村建设与美丽乡村建设。</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（八）</w:t>
      </w:r>
      <w:r>
        <w:rPr>
          <w:rFonts w:hint="eastAsia" w:ascii="仿宋" w:hAnsi="仿宋" w:eastAsia="仿宋" w:cs="仿宋"/>
          <w:color w:val="010101"/>
          <w:sz w:val="32"/>
          <w:szCs w:val="32"/>
        </w:rPr>
        <w:t>负责民政工作，发展社会福利事业，做好社会保障工作，办理兵役事项。</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（九）</w:t>
      </w:r>
      <w:r>
        <w:rPr>
          <w:rFonts w:hint="eastAsia" w:ascii="仿宋" w:hAnsi="仿宋" w:eastAsia="仿宋" w:cs="仿宋"/>
          <w:color w:val="010101"/>
          <w:sz w:val="32"/>
          <w:szCs w:val="32"/>
        </w:rPr>
        <w:t>承办上级人民政府交办的其他事项。</w:t>
      </w:r>
    </w:p>
    <w:p>
      <w:pPr>
        <w:widowControl/>
        <w:spacing w:line="600" w:lineRule="exact"/>
        <w:rPr>
          <w:rFonts w:hint="eastAsia"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道县白马渡镇人民政府内设机构包括：党政综合办公室、社会治安和应急管理办公室、经济发展办公室、社会事务办公室、基层党建办公室、自然资源和生态环境办公室、镇财政所、退役军人服务站、综合行政执法大队、社会事业综合服务中心、农业综合服务中心、政务（便民）服务中心。</w:t>
      </w:r>
    </w:p>
    <w:p>
      <w:pPr>
        <w:widowControl/>
        <w:numPr>
          <w:ilvl w:val="0"/>
          <w:numId w:val="2"/>
        </w:numPr>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道县白马渡镇人民政府2025年部门决算汇总公开单位构成包括：道县白马渡镇人民政府本级。</w:t>
      </w:r>
    </w:p>
    <w:p>
      <w:pPr>
        <w:jc w:val="center"/>
        <w:rPr>
          <w:rFonts w:hint="eastAsia" w:ascii="黑体" w:hAnsi="黑体" w:eastAsia="黑体"/>
          <w:sz w:val="28"/>
          <w:szCs w:val="28"/>
        </w:rPr>
      </w:pPr>
    </w:p>
    <w:p>
      <w:pPr>
        <w:jc w:val="center"/>
        <w:rPr>
          <w:rFonts w:hint="eastAsia" w:ascii="黑体" w:hAnsi="黑体" w:eastAsia="黑体"/>
          <w:sz w:val="28"/>
          <w:szCs w:val="28"/>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hint="eastAsia" w:ascii="宋体" w:hAnsi="宋体"/>
          <w:sz w:val="32"/>
          <w:szCs w:val="32"/>
        </w:rPr>
        <w:sectPr>
          <w:pgSz w:w="11906" w:h="16838"/>
          <w:pgMar w:top="720" w:right="720" w:bottom="720" w:left="720" w:header="851" w:footer="992" w:gutter="0"/>
          <w:cols w:space="425" w:num="1"/>
          <w:docGrid w:type="lines" w:linePitch="312" w:charSpace="0"/>
        </w:sectPr>
      </w:pPr>
    </w:p>
    <w:tbl>
      <w:tblPr>
        <w:tblStyle w:val="8"/>
        <w:tblW w:w="17616" w:type="dxa"/>
        <w:tblInd w:w="0" w:type="dxa"/>
        <w:tblLayout w:type="autofit"/>
        <w:tblCellMar>
          <w:top w:w="0" w:type="dxa"/>
          <w:left w:w="0" w:type="dxa"/>
          <w:bottom w:w="0" w:type="dxa"/>
          <w:right w:w="0" w:type="dxa"/>
        </w:tblCellMar>
      </w:tblPr>
      <w:tblGrid>
        <w:gridCol w:w="315"/>
        <w:gridCol w:w="315"/>
        <w:gridCol w:w="7593"/>
        <w:gridCol w:w="2714"/>
        <w:gridCol w:w="2703"/>
        <w:gridCol w:w="646"/>
        <w:gridCol w:w="620"/>
        <w:gridCol w:w="599"/>
        <w:gridCol w:w="580"/>
        <w:gridCol w:w="2059"/>
      </w:tblGrid>
      <w:tr>
        <w:tblPrEx>
          <w:tblCellMar>
            <w:top w:w="0" w:type="dxa"/>
            <w:left w:w="0" w:type="dxa"/>
            <w:bottom w:w="0" w:type="dxa"/>
            <w:right w:w="0" w:type="dxa"/>
          </w:tblCellMar>
        </w:tblPrEx>
        <w:trPr>
          <w:trHeight w:val="435" w:hRule="atLeast"/>
        </w:trPr>
        <w:tc>
          <w:tcPr>
            <w:tcW w:w="17616" w:type="dxa"/>
            <w:gridSpan w:val="10"/>
            <w:tcBorders>
              <w:top w:val="nil"/>
              <w:left w:val="nil"/>
              <w:bottom w:val="nil"/>
              <w:right w:val="nil"/>
            </w:tcBorders>
            <w:noWrap/>
            <w:tcMar>
              <w:top w:w="15" w:type="dxa"/>
              <w:left w:w="15" w:type="dxa"/>
              <w:bottom w:w="0" w:type="dxa"/>
              <w:right w:w="15" w:type="dxa"/>
            </w:tcMar>
            <w:vAlign w:val="center"/>
          </w:tcPr>
          <w:tbl>
            <w:tblPr>
              <w:tblStyle w:val="8"/>
              <w:tblW w:w="15398" w:type="dxa"/>
              <w:tblInd w:w="0" w:type="dxa"/>
              <w:tblLayout w:type="autofit"/>
              <w:tblCellMar>
                <w:top w:w="0" w:type="dxa"/>
                <w:left w:w="108" w:type="dxa"/>
                <w:bottom w:w="0" w:type="dxa"/>
                <w:right w:w="108" w:type="dxa"/>
              </w:tblCellMar>
            </w:tblPr>
            <w:tblGrid>
              <w:gridCol w:w="4442"/>
              <w:gridCol w:w="616"/>
              <w:gridCol w:w="1399"/>
              <w:gridCol w:w="5033"/>
              <w:gridCol w:w="1621"/>
              <w:gridCol w:w="2300"/>
            </w:tblGrid>
            <w:tr>
              <w:tblPrEx>
                <w:tblCellMar>
                  <w:top w:w="0" w:type="dxa"/>
                  <w:left w:w="108" w:type="dxa"/>
                  <w:bottom w:w="0" w:type="dxa"/>
                  <w:right w:w="108" w:type="dxa"/>
                </w:tblCellMar>
              </w:tblPrEx>
              <w:trPr>
                <w:trHeight w:val="304" w:hRule="atLeast"/>
              </w:trPr>
              <w:tc>
                <w:tcPr>
                  <w:tcW w:w="4442" w:type="dxa"/>
                  <w:tcBorders>
                    <w:top w:val="nil"/>
                    <w:left w:val="nil"/>
                    <w:bottom w:val="nil"/>
                    <w:right w:val="nil"/>
                  </w:tcBorders>
                  <w:noWrap/>
                  <w:vAlign w:val="center"/>
                </w:tcPr>
                <w:p>
                  <w:pPr>
                    <w:jc w:val="left"/>
                    <w:rPr>
                      <w:rFonts w:hint="eastAsia" w:ascii="黑体" w:hAnsi="宋体" w:eastAsia="黑体" w:cs="黑体"/>
                      <w:color w:val="000000"/>
                      <w:sz w:val="24"/>
                      <w:szCs w:val="24"/>
                    </w:rPr>
                  </w:pPr>
                </w:p>
              </w:tc>
              <w:tc>
                <w:tcPr>
                  <w:tcW w:w="603" w:type="dxa"/>
                  <w:tcBorders>
                    <w:top w:val="nil"/>
                    <w:left w:val="nil"/>
                    <w:bottom w:val="nil"/>
                    <w:right w:val="nil"/>
                  </w:tcBorders>
                  <w:noWrap/>
                  <w:vAlign w:val="center"/>
                </w:tcPr>
                <w:p>
                  <w:pPr>
                    <w:jc w:val="right"/>
                    <w:rPr>
                      <w:rFonts w:hint="eastAsia" w:ascii="宋体" w:hAnsi="宋体" w:eastAsia="宋体" w:cs="宋体"/>
                      <w:color w:val="000000"/>
                      <w:sz w:val="24"/>
                      <w:szCs w:val="24"/>
                    </w:rPr>
                  </w:pPr>
                </w:p>
              </w:tc>
              <w:tc>
                <w:tcPr>
                  <w:tcW w:w="1399" w:type="dxa"/>
                  <w:tcBorders>
                    <w:top w:val="nil"/>
                    <w:left w:val="nil"/>
                    <w:bottom w:val="nil"/>
                    <w:right w:val="nil"/>
                  </w:tcBorders>
                  <w:noWrap/>
                  <w:vAlign w:val="center"/>
                </w:tcPr>
                <w:p>
                  <w:pPr>
                    <w:jc w:val="right"/>
                    <w:rPr>
                      <w:rFonts w:hint="eastAsia" w:ascii="宋体" w:hAnsi="宋体" w:eastAsia="宋体" w:cs="宋体"/>
                      <w:color w:val="000000"/>
                      <w:sz w:val="24"/>
                      <w:szCs w:val="24"/>
                    </w:rPr>
                  </w:pPr>
                </w:p>
              </w:tc>
              <w:tc>
                <w:tcPr>
                  <w:tcW w:w="5033" w:type="dxa"/>
                  <w:tcBorders>
                    <w:top w:val="nil"/>
                    <w:left w:val="nil"/>
                    <w:bottom w:val="nil"/>
                    <w:right w:val="nil"/>
                  </w:tcBorders>
                  <w:noWrap/>
                  <w:vAlign w:val="center"/>
                </w:tcPr>
                <w:p>
                  <w:pPr>
                    <w:jc w:val="right"/>
                    <w:rPr>
                      <w:rFonts w:hint="eastAsia" w:ascii="宋体" w:hAnsi="宋体" w:eastAsia="宋体" w:cs="宋体"/>
                      <w:color w:val="000000"/>
                      <w:sz w:val="24"/>
                      <w:szCs w:val="24"/>
                    </w:rPr>
                  </w:pPr>
                </w:p>
              </w:tc>
              <w:tc>
                <w:tcPr>
                  <w:tcW w:w="1621" w:type="dxa"/>
                  <w:tcBorders>
                    <w:top w:val="nil"/>
                    <w:left w:val="nil"/>
                    <w:bottom w:val="nil"/>
                    <w:right w:val="nil"/>
                  </w:tcBorders>
                  <w:noWrap/>
                  <w:vAlign w:val="center"/>
                </w:tcPr>
                <w:p>
                  <w:pPr>
                    <w:jc w:val="right"/>
                    <w:rPr>
                      <w:rFonts w:hint="eastAsia" w:ascii="宋体" w:hAnsi="宋体" w:eastAsia="宋体" w:cs="宋体"/>
                      <w:color w:val="000000"/>
                      <w:sz w:val="24"/>
                      <w:szCs w:val="24"/>
                    </w:rPr>
                  </w:pPr>
                </w:p>
              </w:tc>
              <w:tc>
                <w:tcPr>
                  <w:tcW w:w="2300" w:type="dxa"/>
                  <w:tcBorders>
                    <w:top w:val="nil"/>
                    <w:left w:val="nil"/>
                    <w:bottom w:val="nil"/>
                    <w:right w:val="nil"/>
                  </w:tcBorders>
                  <w:noWrap/>
                  <w:vAlign w:val="center"/>
                </w:tcPr>
                <w:p>
                  <w:pPr>
                    <w:jc w:val="right"/>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609" w:hRule="atLeast"/>
              </w:trPr>
              <w:tc>
                <w:tcPr>
                  <w:tcW w:w="0" w:type="auto"/>
                  <w:gridSpan w:val="6"/>
                  <w:tcBorders>
                    <w:top w:val="nil"/>
                    <w:left w:val="nil"/>
                    <w:bottom w:val="nil"/>
                    <w:right w:val="nil"/>
                  </w:tcBorders>
                  <w:noWrap/>
                  <w:vAlign w:val="center"/>
                </w:tcPr>
                <w:p>
                  <w:pPr>
                    <w:widowControl/>
                    <w:jc w:val="center"/>
                    <w:textAlignment w:val="center"/>
                    <w:rPr>
                      <w:rFonts w:hint="eastAsia"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tblPrEx>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1844" w:type="dxa"/>
                <w:trHeight w:val="44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收入</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支出</w:t>
                  </w:r>
                </w:p>
              </w:tc>
            </w:tr>
            <w:tr>
              <w:tblPrEx>
                <w:tblCellMar>
                  <w:top w:w="0" w:type="dxa"/>
                  <w:left w:w="108" w:type="dxa"/>
                  <w:bottom w:w="0" w:type="dxa"/>
                  <w:right w:w="108" w:type="dxa"/>
                </w:tblCellMar>
              </w:tblPrEx>
              <w:trPr>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决算数</w:t>
                  </w: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2</w:t>
                  </w: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1165.58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802.98</w:t>
                  </w: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right"/>
                    <w:textAlignment w:val="center"/>
                    <w:rPr>
                      <w:rFonts w:hint="eastAsia" w:ascii="宋体" w:hAnsi="宋体" w:eastAsia="宋体" w:cs="宋体"/>
                      <w:color w:val="000000"/>
                      <w:sz w:val="22"/>
                    </w:rPr>
                  </w:pPr>
                  <w:r>
                    <w:rPr>
                      <w:rFonts w:hint="eastAsia" w:ascii="宋体" w:hAnsi="宋体" w:eastAsia="宋体" w:cs="宋体"/>
                      <w:color w:val="000000"/>
                      <w:kern w:val="0"/>
                      <w:sz w:val="22"/>
                    </w:rPr>
                    <w:t>89.9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二、教育支出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7.74</w:t>
                  </w: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三、</w:t>
                  </w:r>
                  <w:r>
                    <w:rPr>
                      <w:rFonts w:ascii="宋体" w:hAnsi="宋体" w:eastAsia="宋体" w:cs="宋体"/>
                      <w:color w:val="000000"/>
                      <w:kern w:val="0"/>
                      <w:sz w:val="22"/>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78.42</w:t>
                  </w: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四、</w:t>
                  </w:r>
                  <w:r>
                    <w:rPr>
                      <w:rFonts w:ascii="宋体" w:hAnsi="宋体" w:eastAsia="宋体" w:cs="宋体"/>
                      <w:color w:val="000000"/>
                      <w:kern w:val="0"/>
                      <w:sz w:val="22"/>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43.66</w:t>
                  </w: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五、</w:t>
                  </w:r>
                  <w:r>
                    <w:rPr>
                      <w:rFonts w:ascii="宋体" w:hAnsi="宋体" w:eastAsia="宋体" w:cs="宋体"/>
                      <w:color w:val="000000"/>
                      <w:kern w:val="0"/>
                      <w:sz w:val="22"/>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9.8</w:t>
                  </w: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六、</w:t>
                  </w:r>
                  <w:r>
                    <w:rPr>
                      <w:rFonts w:ascii="宋体" w:hAnsi="宋体" w:eastAsia="宋体" w:cs="宋体"/>
                      <w:color w:val="000000"/>
                      <w:kern w:val="0"/>
                      <w:sz w:val="22"/>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232.78</w:t>
                  </w: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七、其他支出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80.1</w:t>
                  </w: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sz w:val="22"/>
                    </w:rPr>
                  </w:pP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b/>
                      <w:color w:val="000000"/>
                      <w:sz w:val="22"/>
                    </w:rPr>
                  </w:pP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b/>
                      <w:color w:val="000000"/>
                      <w:sz w:val="22"/>
                    </w:rPr>
                  </w:pPr>
                  <w:r>
                    <w:rPr>
                      <w:rFonts w:hint="eastAsia" w:ascii="宋体" w:hAnsi="宋体" w:eastAsia="宋体" w:cs="宋体"/>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b/>
                      <w:color w:val="000000"/>
                      <w:sz w:val="22"/>
                    </w:rPr>
                  </w:pPr>
                  <w:r>
                    <w:rPr>
                      <w:rFonts w:hint="eastAsia" w:ascii="宋体" w:hAnsi="宋体" w:eastAsia="宋体" w:cs="宋体"/>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22"/>
                    </w:rPr>
                  </w:pP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22"/>
                    </w:rPr>
                  </w:pPr>
                </w:p>
              </w:tc>
            </w:tr>
            <w:tr>
              <w:tblPrEx>
                <w:tblCellMar>
                  <w:top w:w="0" w:type="dxa"/>
                  <w:left w:w="108" w:type="dxa"/>
                  <w:bottom w:w="0" w:type="dxa"/>
                  <w:right w:w="108" w:type="dxa"/>
                </w:tblCellMar>
              </w:tblPrEx>
              <w:trPr>
                <w:trHeight w:val="62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22"/>
                    </w:rPr>
                  </w:pPr>
                </w:p>
              </w:tc>
            </w:tr>
            <w:tr>
              <w:tblPrEx>
                <w:tblCellMar>
                  <w:top w:w="0" w:type="dxa"/>
                  <w:left w:w="108" w:type="dxa"/>
                  <w:bottom w:w="0" w:type="dxa"/>
                  <w:right w:w="108" w:type="dxa"/>
                </w:tblCellMar>
              </w:tblPrEx>
              <w:trPr>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b/>
                      <w:color w:val="000000"/>
                      <w:sz w:val="22"/>
                    </w:rPr>
                  </w:pPr>
                  <w:r>
                    <w:rPr>
                      <w:rFonts w:hint="eastAsia" w:ascii="宋体" w:hAnsi="宋体" w:eastAsia="宋体" w:cs="宋体"/>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1255.48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b/>
                      <w:color w:val="000000"/>
                      <w:sz w:val="22"/>
                    </w:rPr>
                  </w:pPr>
                  <w:r>
                    <w:rPr>
                      <w:rFonts w:hint="eastAsia" w:ascii="宋体" w:hAnsi="宋体" w:eastAsia="宋体" w:cs="宋体"/>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b/>
                      <w:color w:val="000000"/>
                      <w:sz w:val="22"/>
                    </w:rPr>
                  </w:pPr>
                  <w:r>
                    <w:rPr>
                      <w:rFonts w:hint="eastAsia" w:ascii="宋体" w:hAnsi="宋体" w:eastAsia="宋体" w:cs="宋体"/>
                      <w:b/>
                      <w:color w:val="000000"/>
                      <w:sz w:val="22"/>
                    </w:rPr>
                    <w:t>1255.48</w:t>
                  </w:r>
                </w:p>
              </w:tc>
            </w:tr>
            <w:tr>
              <w:tblPrEx>
                <w:tblCellMar>
                  <w:top w:w="0" w:type="dxa"/>
                  <w:left w:w="108" w:type="dxa"/>
                  <w:bottom w:w="0" w:type="dxa"/>
                  <w:right w:w="108" w:type="dxa"/>
                </w:tblCellMar>
              </w:tblPrEx>
              <w:trPr>
                <w:trHeight w:val="1015" w:hRule="atLeast"/>
              </w:trPr>
              <w:tc>
                <w:tcPr>
                  <w:tcW w:w="15398" w:type="dxa"/>
                  <w:gridSpan w:val="6"/>
                  <w:tcBorders>
                    <w:top w:val="nil"/>
                    <w:left w:val="nil"/>
                    <w:bottom w:val="nil"/>
                    <w:right w:val="nil"/>
                  </w:tcBorders>
                  <w:vAlign w:val="center"/>
                </w:tcPr>
                <w:p>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注：1.本表反映部门本年度的总收支和年末结转结余情况。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2.本套报表金额单位转换时可能存在尾数误差。</w:t>
                  </w:r>
                </w:p>
              </w:tc>
            </w:tr>
          </w:tbl>
          <w:p>
            <w:pPr>
              <w:jc w:val="center"/>
              <w:rPr>
                <w:rFonts w:hint="eastAsia"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hint="eastAsia" w:ascii="宋体" w:hAnsi="宋体" w:eastAsia="宋体" w:cs="宋体"/>
                <w:color w:val="000000"/>
                <w:sz w:val="20"/>
                <w:szCs w:val="20"/>
              </w:rPr>
            </w:pPr>
            <w:r>
              <w:rPr>
                <w:rFonts w:hint="eastAsia"/>
                <w:color w:val="000000"/>
                <w:sz w:val="20"/>
                <w:szCs w:val="20"/>
              </w:rPr>
              <w:t>部门：</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709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项    目</w:t>
            </w:r>
          </w:p>
        </w:tc>
        <w:tc>
          <w:tcPr>
            <w:tcW w:w="30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本年收入合计</w:t>
            </w:r>
          </w:p>
        </w:tc>
        <w:tc>
          <w:tcPr>
            <w:tcW w:w="3080"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财政拨款收入</w:t>
            </w:r>
          </w:p>
        </w:tc>
        <w:tc>
          <w:tcPr>
            <w:tcW w:w="6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上级补助收入</w:t>
            </w:r>
          </w:p>
        </w:tc>
        <w:tc>
          <w:tcPr>
            <w:tcW w:w="63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事业收入</w:t>
            </w:r>
          </w:p>
        </w:tc>
        <w:tc>
          <w:tcPr>
            <w:tcW w:w="6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经营收入</w:t>
            </w:r>
          </w:p>
        </w:tc>
        <w:tc>
          <w:tcPr>
            <w:tcW w:w="5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附属单位上缴收入</w:t>
            </w:r>
          </w:p>
        </w:tc>
        <w:tc>
          <w:tcPr>
            <w:tcW w:w="18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63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功能分类科目编码</w:t>
            </w:r>
          </w:p>
        </w:tc>
        <w:tc>
          <w:tcPr>
            <w:tcW w:w="646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栏次</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合计</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ascii="宋体" w:hAnsi="宋体" w:eastAsia="宋体" w:cs="宋体"/>
                <w:sz w:val="24"/>
                <w:szCs w:val="24"/>
              </w:rPr>
            </w:pPr>
            <w:r>
              <w:rPr>
                <w:rFonts w:hint="eastAsia"/>
              </w:rPr>
              <w:t>1255.48</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left" w:pos="491"/>
                <w:tab w:val="right" w:pos="1974"/>
              </w:tabs>
              <w:jc w:val="center"/>
              <w:rPr>
                <w:rFonts w:hint="eastAsia" w:ascii="宋体" w:hAnsi="宋体" w:eastAsia="宋体" w:cs="宋体"/>
                <w:sz w:val="24"/>
                <w:szCs w:val="24"/>
              </w:rPr>
            </w:pPr>
            <w:r>
              <w:rPr>
                <w:rFonts w:hint="eastAsia"/>
              </w:rPr>
              <w:t>1255.48</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代表工作</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3.18</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left" w:pos="544"/>
                <w:tab w:val="center" w:pos="824"/>
                <w:tab w:val="right" w:pos="1455"/>
                <w:tab w:val="right" w:pos="1978"/>
              </w:tabs>
              <w:jc w:val="center"/>
              <w:rPr>
                <w:rFonts w:hint="eastAsia"/>
              </w:rPr>
            </w:pPr>
            <w:r>
              <w:rPr>
                <w:rFonts w:hint="eastAsia"/>
              </w:rPr>
              <w:t>3.18</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行政运行</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595.12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39"/>
                <w:tab w:val="right" w:pos="1978"/>
              </w:tabs>
              <w:jc w:val="center"/>
              <w:rPr>
                <w:rFonts w:hint="eastAsia"/>
              </w:rPr>
            </w:pPr>
            <w:r>
              <w:rPr>
                <w:rFonts w:hint="eastAsia"/>
              </w:rPr>
              <w:t>595.12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rPr>
                <w:rFonts w:hint="eastAsia"/>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其他政府办公厅（室）及相关机构事务支出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05"/>
                <w:tab w:val="right" w:pos="1978"/>
              </w:tabs>
              <w:jc w:val="center"/>
              <w:rPr>
                <w:rFonts w:hint="eastAsia"/>
              </w:rPr>
            </w:pPr>
            <w:r>
              <w:rPr>
                <w:rFonts w:hint="eastAsia"/>
              </w:rPr>
              <w:t>170.73</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left" w:pos="530"/>
                <w:tab w:val="right" w:pos="1978"/>
              </w:tabs>
              <w:jc w:val="center"/>
              <w:rPr>
                <w:rFonts w:hint="eastAsia"/>
              </w:rPr>
            </w:pPr>
            <w:r>
              <w:rPr>
                <w:rFonts w:hint="eastAsia"/>
              </w:rPr>
              <w:t>170.73</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行政运行</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02"/>
                <w:tab w:val="right" w:pos="1978"/>
              </w:tabs>
              <w:jc w:val="center"/>
              <w:rPr>
                <w:rFonts w:hint="eastAsia"/>
              </w:rPr>
            </w:pPr>
            <w:r>
              <w:rPr>
                <w:rFonts w:hint="eastAsia"/>
              </w:rPr>
              <w:t>27.42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04"/>
                <w:tab w:val="right" w:pos="1978"/>
              </w:tabs>
              <w:jc w:val="center"/>
              <w:rPr>
                <w:rFonts w:hint="eastAsia"/>
              </w:rPr>
            </w:pPr>
            <w:r>
              <w:rPr>
                <w:rFonts w:hint="eastAsia"/>
              </w:rPr>
              <w:t>27.42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right" w:pos="1978"/>
              </w:tabs>
              <w:jc w:val="right"/>
              <w:rPr>
                <w:rFonts w:hint="eastAsia"/>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其他纪检监察事务支出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2"/>
                <w:tab w:val="right" w:pos="1974"/>
              </w:tabs>
              <w:jc w:val="center"/>
              <w:rPr>
                <w:rFonts w:hint="eastAsia"/>
              </w:rPr>
            </w:pPr>
            <w:r>
              <w:rPr>
                <w:rFonts w:hint="eastAsia"/>
              </w:rPr>
              <w:t>6.3</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left" w:pos="392"/>
                <w:tab w:val="right" w:pos="1975"/>
              </w:tabs>
              <w:jc w:val="center"/>
              <w:rPr>
                <w:rFonts w:hint="eastAsia"/>
              </w:rPr>
            </w:pPr>
            <w:r>
              <w:rPr>
                <w:rFonts w:hint="eastAsia"/>
              </w:rPr>
              <w:t>6.3</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rPr>
            </w:pPr>
            <w:r>
              <w:rPr>
                <w:rFonts w:ascii="宋体" w:hAnsi="宋体" w:eastAsia="宋体" w:cs="宋体"/>
                <w:color w:val="000000"/>
                <w:kern w:val="0"/>
                <w:sz w:val="22"/>
              </w:rPr>
              <w:t>其他社会工作事务支出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0.24</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left" w:pos="356"/>
                <w:tab w:val="center" w:pos="824"/>
                <w:tab w:val="right" w:pos="1978"/>
              </w:tabs>
              <w:jc w:val="center"/>
            </w:pPr>
            <w:r>
              <w:rPr>
                <w:rFonts w:hint="eastAsia"/>
              </w:rPr>
              <w:t>0.24</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行政运行</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7.74</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7.74</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社会保险业务管理事务</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2.62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left" w:pos="566"/>
                <w:tab w:val="center" w:pos="824"/>
                <w:tab w:val="right" w:pos="1978"/>
              </w:tabs>
              <w:jc w:val="center"/>
            </w:pPr>
            <w:r>
              <w:rPr>
                <w:rFonts w:hint="eastAsia"/>
              </w:rPr>
              <w:t>2.62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机关事业单位基本养老保险缴费支出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67.12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left" w:pos="386"/>
                <w:tab w:val="center" w:pos="824"/>
                <w:tab w:val="right" w:pos="1978"/>
              </w:tabs>
              <w:jc w:val="center"/>
            </w:pPr>
            <w:r>
              <w:rPr>
                <w:rFonts w:hint="eastAsia"/>
              </w:rPr>
              <w:t>67.12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死亡抚恤</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8.49</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8.49</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行政单位医疗</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36.49</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36.49</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其他医疗救助支出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7"/>
                <w:tab w:val="right" w:pos="1985"/>
              </w:tabs>
              <w:jc w:val="center"/>
              <w:rPr>
                <w:rFonts w:hint="eastAsia"/>
              </w:rPr>
            </w:pPr>
            <w:r>
              <w:rPr>
                <w:rFonts w:hint="eastAsia"/>
              </w:rPr>
              <w:t>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2"/>
                <w:tab w:val="right" w:pos="1974"/>
              </w:tabs>
              <w:jc w:val="center"/>
              <w:rPr>
                <w:rFonts w:hint="eastAsia"/>
              </w:rPr>
            </w:pPr>
            <w:r>
              <w:rPr>
                <w:rFonts w:hint="eastAsia"/>
              </w:rPr>
              <w:t>2</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优抚对象医疗补助</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1.66</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1.66</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其他医疗保障管理事务支出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3.51</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3.51</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其他国有土地使用权出让收入安排的支出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9.8</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9.8</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rPr>
            </w:pPr>
            <w:r>
              <w:rPr>
                <w:rFonts w:ascii="宋体" w:hAnsi="宋体" w:eastAsia="宋体" w:cs="宋体"/>
                <w:color w:val="000000"/>
                <w:kern w:val="0"/>
                <w:sz w:val="22"/>
              </w:rPr>
              <w:t>其他农业农村支出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117.28</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117.28</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rPr>
                <w:rFonts w:hint="eastAsia" w:ascii="宋体" w:hAnsi="宋体" w:eastAsia="宋体" w:cs="宋体"/>
                <w:color w:val="262626"/>
                <w:kern w:val="0"/>
                <w:sz w:val="22"/>
              </w:rPr>
            </w:pPr>
            <w:r>
              <w:rPr>
                <w:rFonts w:hint="eastAsia"/>
                <w:color w:val="262626"/>
                <w:sz w:val="22"/>
              </w:rPr>
              <w:t>其他林业和草原支出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40</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40</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rPr>
                <w:rFonts w:hint="eastAsia"/>
                <w:color w:val="262626"/>
                <w:sz w:val="22"/>
              </w:rPr>
            </w:pPr>
            <w:r>
              <w:rPr>
                <w:color w:val="262626"/>
                <w:sz w:val="22"/>
              </w:rPr>
              <w:t>对村民委员会和村党支部的补助</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75.5</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75.5</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rPr>
                <w:rFonts w:hint="eastAsia" w:ascii="宋体" w:hAnsi="宋体" w:eastAsia="宋体" w:cs="宋体"/>
                <w:color w:val="262626"/>
                <w:kern w:val="0"/>
                <w:sz w:val="22"/>
              </w:rPr>
            </w:pPr>
            <w:r>
              <w:rPr>
                <w:rFonts w:hint="eastAsia"/>
                <w:color w:val="262626"/>
                <w:sz w:val="22"/>
              </w:rPr>
              <w:t>其他政府性基金债务收入安排的支出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70.1</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70.1</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tc>
        <w:tc>
          <w:tcPr>
            <w:tcW w:w="0" w:type="auto"/>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widowControl/>
              <w:jc w:val="left"/>
              <w:rPr>
                <w:rFonts w:hint="eastAsia"/>
                <w:color w:val="262626"/>
                <w:sz w:val="22"/>
              </w:rPr>
            </w:pPr>
            <w:r>
              <w:rPr>
                <w:color w:val="262626"/>
                <w:sz w:val="22"/>
              </w:rPr>
              <w:t>用于体育事业的彩票公益金支出</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rPr>
                <w:rFonts w:hint="eastAsia"/>
              </w:rPr>
            </w:pPr>
            <w:r>
              <w:rPr>
                <w:rFonts w:hint="eastAsia"/>
              </w:rPr>
              <w:t>10</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center"/>
            </w:pPr>
            <w:r>
              <w:rPr>
                <w:rFonts w:hint="eastAsia"/>
              </w:rPr>
              <w:t>10</w:t>
            </w: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c>
          <w:tcPr>
            <w:tcW w:w="0" w:type="auto"/>
            <w:tcBorders>
              <w:top w:val="nil"/>
              <w:left w:val="nil"/>
              <w:bottom w:val="single" w:color="auto" w:sz="4" w:space="0"/>
              <w:right w:val="single" w:color="auto" w:sz="4" w:space="0"/>
            </w:tcBorders>
            <w:noWrap/>
            <w:tcMar>
              <w:top w:w="15" w:type="dxa"/>
              <w:left w:w="15" w:type="dxa"/>
              <w:bottom w:w="0" w:type="dxa"/>
              <w:right w:w="15" w:type="dxa"/>
            </w:tcMar>
            <w:vAlign w:val="center"/>
          </w:tcPr>
          <w:p>
            <w:pPr>
              <w:tabs>
                <w:tab w:val="center" w:pos="824"/>
                <w:tab w:val="right" w:pos="1978"/>
              </w:tabs>
              <w:jc w:val="left"/>
            </w:pPr>
          </w:p>
        </w:tc>
      </w:tr>
      <w:tr>
        <w:tblPrEx>
          <w:tblCellMar>
            <w:top w:w="0" w:type="dxa"/>
            <w:left w:w="0" w:type="dxa"/>
            <w:bottom w:w="0" w:type="dxa"/>
            <w:right w:w="0" w:type="dxa"/>
          </w:tblCellMar>
        </w:tblPrEx>
        <w:trPr>
          <w:trHeight w:val="615" w:hRule="atLeast"/>
        </w:trPr>
        <w:tc>
          <w:tcPr>
            <w:tcW w:w="17616" w:type="dxa"/>
            <w:gridSpan w:val="10"/>
            <w:tcBorders>
              <w:top w:val="nil"/>
              <w:left w:val="nil"/>
              <w:bottom w:val="nil"/>
              <w:right w:val="nil"/>
            </w:tcBorders>
            <w:tcMar>
              <w:top w:w="15" w:type="dxa"/>
              <w:left w:w="15" w:type="dxa"/>
              <w:bottom w:w="0" w:type="dxa"/>
              <w:right w:w="15" w:type="dxa"/>
            </w:tcMar>
            <w:vAlign w:val="center"/>
          </w:tcPr>
          <w:p>
            <w:pPr>
              <w:rPr>
                <w:rFonts w:hint="eastAsia"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8"/>
        <w:tblW w:w="15640" w:type="dxa"/>
        <w:tblInd w:w="93" w:type="dxa"/>
        <w:tblLayout w:type="autofit"/>
        <w:tblCellMar>
          <w:top w:w="0" w:type="dxa"/>
          <w:left w:w="108" w:type="dxa"/>
          <w:bottom w:w="0" w:type="dxa"/>
          <w:right w:w="108" w:type="dxa"/>
        </w:tblCellMar>
      </w:tblPr>
      <w:tblGrid>
        <w:gridCol w:w="616"/>
        <w:gridCol w:w="620"/>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10"/>
            <w:tcBorders>
              <w:top w:val="nil"/>
              <w:left w:val="nil"/>
              <w:bottom w:val="nil"/>
              <w:right w:val="nil"/>
            </w:tcBorders>
            <w:noWrap/>
            <w:vAlign w:val="center"/>
          </w:tcPr>
          <w:p>
            <w:pPr>
              <w:widowControl/>
              <w:jc w:val="center"/>
              <w:rPr>
                <w:rFonts w:hint="eastAsia"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gridSpan w:val="2"/>
            <w:tcBorders>
              <w:top w:val="nil"/>
              <w:left w:val="nil"/>
              <w:bottom w:val="nil"/>
              <w:right w:val="nil"/>
            </w:tcBorders>
            <w:shd w:val="clear" w:color="000000" w:fill="FFFFFF"/>
            <w:noWrap/>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noWrap/>
            <w:vAlign w:val="center"/>
          </w:tcPr>
          <w:p>
            <w:pPr>
              <w:tabs>
                <w:tab w:val="center" w:pos="824"/>
                <w:tab w:val="right" w:pos="1978"/>
              </w:tabs>
              <w:jc w:val="center"/>
              <w:rPr>
                <w:rFonts w:hint="eastAsia" w:ascii="宋体" w:hAnsi="宋体" w:eastAsia="宋体" w:cs="宋体"/>
                <w:kern w:val="0"/>
                <w:sz w:val="24"/>
                <w:szCs w:val="24"/>
              </w:rPr>
            </w:pPr>
            <w:r>
              <w:rPr>
                <w:rFonts w:hint="eastAsia"/>
              </w:rPr>
              <w:t>1255.48</w:t>
            </w:r>
          </w:p>
        </w:tc>
        <w:tc>
          <w:tcPr>
            <w:tcW w:w="1991" w:type="dxa"/>
            <w:tcBorders>
              <w:top w:val="nil"/>
              <w:left w:val="nil"/>
              <w:bottom w:val="single" w:color="auto" w:sz="4" w:space="0"/>
              <w:right w:val="single" w:color="auto" w:sz="4" w:space="0"/>
            </w:tcBorders>
            <w:noWrap/>
            <w:vAlign w:val="center"/>
          </w:tcPr>
          <w:p>
            <w:pPr>
              <w:tabs>
                <w:tab w:val="left" w:pos="491"/>
                <w:tab w:val="right" w:pos="1974"/>
              </w:tabs>
              <w:jc w:val="center"/>
              <w:rPr>
                <w:rFonts w:hint="eastAsia" w:ascii="宋体" w:hAnsi="宋体" w:eastAsia="宋体" w:cs="宋体"/>
                <w:kern w:val="0"/>
                <w:sz w:val="24"/>
                <w:szCs w:val="24"/>
              </w:rPr>
            </w:pPr>
            <w:r>
              <w:rPr>
                <w:rFonts w:hint="eastAsia"/>
              </w:rPr>
              <w:t>1165.58</w:t>
            </w:r>
          </w:p>
        </w:tc>
        <w:tc>
          <w:tcPr>
            <w:tcW w:w="1991" w:type="dxa"/>
            <w:tcBorders>
              <w:top w:val="nil"/>
              <w:left w:val="nil"/>
              <w:bottom w:val="single" w:color="auto" w:sz="4" w:space="0"/>
              <w:right w:val="single" w:color="auto" w:sz="4" w:space="0"/>
            </w:tcBorders>
            <w:noWrap/>
            <w:vAlign w:val="center"/>
          </w:tcPr>
          <w:p>
            <w:pPr>
              <w:widowControl/>
              <w:jc w:val="center"/>
              <w:rPr>
                <w:rFonts w:hint="eastAsia"/>
              </w:rPr>
            </w:pPr>
            <w:r>
              <w:rPr>
                <w:rFonts w:hint="eastAsia"/>
              </w:rPr>
              <w:t>89.9</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代表工作</w:t>
            </w:r>
          </w:p>
        </w:tc>
        <w:tc>
          <w:tcPr>
            <w:tcW w:w="1952" w:type="dxa"/>
            <w:tcBorders>
              <w:top w:val="nil"/>
              <w:left w:val="nil"/>
              <w:bottom w:val="single" w:color="auto" w:sz="4" w:space="0"/>
              <w:right w:val="single" w:color="auto" w:sz="4" w:space="0"/>
            </w:tcBorders>
            <w:noWrap/>
            <w:vAlign w:val="center"/>
          </w:tcPr>
          <w:p>
            <w:pPr>
              <w:tabs>
                <w:tab w:val="left" w:pos="397"/>
                <w:tab w:val="right" w:pos="1409"/>
              </w:tabs>
              <w:jc w:val="center"/>
              <w:rPr>
                <w:rFonts w:hint="eastAsia" w:ascii="宋体" w:hAnsi="宋体" w:eastAsia="宋体" w:cs="宋体"/>
                <w:kern w:val="0"/>
                <w:sz w:val="24"/>
                <w:szCs w:val="24"/>
              </w:rPr>
            </w:pPr>
            <w:r>
              <w:rPr>
                <w:rFonts w:hint="eastAsia"/>
              </w:rPr>
              <w:t>3.18</w:t>
            </w:r>
          </w:p>
        </w:tc>
        <w:tc>
          <w:tcPr>
            <w:tcW w:w="1991" w:type="dxa"/>
            <w:tcBorders>
              <w:top w:val="nil"/>
              <w:left w:val="nil"/>
              <w:bottom w:val="single" w:color="auto" w:sz="4" w:space="0"/>
              <w:right w:val="single" w:color="auto" w:sz="4" w:space="0"/>
            </w:tcBorders>
            <w:noWrap/>
            <w:vAlign w:val="center"/>
          </w:tcPr>
          <w:p>
            <w:pPr>
              <w:tabs>
                <w:tab w:val="left" w:pos="544"/>
                <w:tab w:val="right" w:pos="1455"/>
              </w:tabs>
              <w:jc w:val="center"/>
              <w:rPr>
                <w:rFonts w:hint="eastAsia" w:ascii="宋体" w:hAnsi="宋体" w:eastAsia="宋体" w:cs="宋体"/>
                <w:kern w:val="0"/>
                <w:sz w:val="24"/>
                <w:szCs w:val="24"/>
              </w:rPr>
            </w:pPr>
            <w:r>
              <w:rPr>
                <w:rFonts w:hint="eastAsia"/>
              </w:rPr>
              <w:t>3.18</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行政运行</w:t>
            </w:r>
          </w:p>
        </w:tc>
        <w:tc>
          <w:tcPr>
            <w:tcW w:w="1952" w:type="dxa"/>
            <w:tcBorders>
              <w:top w:val="nil"/>
              <w:left w:val="nil"/>
              <w:bottom w:val="single" w:color="auto" w:sz="4" w:space="0"/>
              <w:right w:val="single" w:color="auto" w:sz="4" w:space="0"/>
            </w:tcBorders>
            <w:noWrap/>
            <w:vAlign w:val="center"/>
          </w:tcPr>
          <w:p>
            <w:pPr>
              <w:tabs>
                <w:tab w:val="left" w:pos="502"/>
                <w:tab w:val="right" w:pos="1857"/>
              </w:tabs>
              <w:jc w:val="center"/>
              <w:rPr>
                <w:rFonts w:hint="eastAsia" w:ascii="宋体" w:hAnsi="宋体" w:eastAsia="宋体" w:cs="宋体"/>
                <w:kern w:val="0"/>
                <w:sz w:val="24"/>
                <w:szCs w:val="24"/>
              </w:rPr>
            </w:pPr>
            <w:r>
              <w:rPr>
                <w:rFonts w:hint="eastAsia"/>
              </w:rPr>
              <w:t>595.12</w:t>
            </w:r>
          </w:p>
        </w:tc>
        <w:tc>
          <w:tcPr>
            <w:tcW w:w="1991" w:type="dxa"/>
            <w:tcBorders>
              <w:top w:val="nil"/>
              <w:left w:val="nil"/>
              <w:bottom w:val="single" w:color="auto" w:sz="4" w:space="0"/>
              <w:right w:val="single" w:color="auto" w:sz="4" w:space="0"/>
            </w:tcBorders>
            <w:noWrap/>
            <w:vAlign w:val="center"/>
          </w:tcPr>
          <w:p>
            <w:pPr>
              <w:tabs>
                <w:tab w:val="center" w:pos="804"/>
                <w:tab w:val="right" w:pos="1939"/>
              </w:tabs>
              <w:jc w:val="center"/>
              <w:rPr>
                <w:rFonts w:hint="eastAsia" w:ascii="宋体" w:hAnsi="宋体" w:eastAsia="宋体" w:cs="宋体"/>
                <w:kern w:val="0"/>
                <w:sz w:val="24"/>
                <w:szCs w:val="24"/>
              </w:rPr>
            </w:pPr>
            <w:r>
              <w:rPr>
                <w:rFonts w:hint="eastAsia"/>
              </w:rPr>
              <w:t>595.12</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其他政府办公厅（室）及相关机构事务支出</w:t>
            </w:r>
          </w:p>
        </w:tc>
        <w:tc>
          <w:tcPr>
            <w:tcW w:w="1952" w:type="dxa"/>
            <w:tcBorders>
              <w:top w:val="nil"/>
              <w:left w:val="nil"/>
              <w:bottom w:val="single" w:color="auto" w:sz="4" w:space="0"/>
              <w:right w:val="single" w:color="auto" w:sz="4" w:space="0"/>
            </w:tcBorders>
            <w:noWrap/>
            <w:vAlign w:val="center"/>
          </w:tcPr>
          <w:p>
            <w:pPr>
              <w:tabs>
                <w:tab w:val="center" w:pos="805"/>
                <w:tab w:val="right" w:pos="1940"/>
              </w:tabs>
              <w:jc w:val="center"/>
              <w:rPr>
                <w:rFonts w:hint="eastAsia" w:ascii="宋体" w:hAnsi="宋体" w:eastAsia="宋体" w:cs="宋体"/>
                <w:kern w:val="0"/>
                <w:sz w:val="24"/>
                <w:szCs w:val="24"/>
              </w:rPr>
            </w:pPr>
            <w:r>
              <w:rPr>
                <w:rFonts w:hint="eastAsia"/>
              </w:rPr>
              <w:t>170.73</w:t>
            </w:r>
          </w:p>
        </w:tc>
        <w:tc>
          <w:tcPr>
            <w:tcW w:w="1991" w:type="dxa"/>
            <w:tcBorders>
              <w:top w:val="nil"/>
              <w:left w:val="nil"/>
              <w:bottom w:val="single" w:color="auto" w:sz="4" w:space="0"/>
              <w:right w:val="single" w:color="auto" w:sz="4" w:space="0"/>
            </w:tcBorders>
            <w:noWrap/>
            <w:vAlign w:val="center"/>
          </w:tcPr>
          <w:p>
            <w:pPr>
              <w:tabs>
                <w:tab w:val="left" w:pos="530"/>
                <w:tab w:val="right" w:pos="1939"/>
              </w:tabs>
              <w:jc w:val="center"/>
              <w:rPr>
                <w:rFonts w:hint="eastAsia" w:ascii="宋体" w:hAnsi="宋体" w:eastAsia="宋体" w:cs="宋体"/>
                <w:kern w:val="0"/>
                <w:sz w:val="24"/>
                <w:szCs w:val="24"/>
              </w:rPr>
            </w:pPr>
            <w:r>
              <w:rPr>
                <w:rFonts w:hint="eastAsia"/>
              </w:rPr>
              <w:t>170.73</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行政运行</w:t>
            </w:r>
          </w:p>
        </w:tc>
        <w:tc>
          <w:tcPr>
            <w:tcW w:w="1952" w:type="dxa"/>
            <w:tcBorders>
              <w:top w:val="nil"/>
              <w:left w:val="nil"/>
              <w:bottom w:val="single" w:color="auto" w:sz="4" w:space="0"/>
              <w:right w:val="single" w:color="auto" w:sz="4" w:space="0"/>
            </w:tcBorders>
            <w:noWrap/>
            <w:vAlign w:val="center"/>
          </w:tcPr>
          <w:p>
            <w:pPr>
              <w:tabs>
                <w:tab w:val="center" w:pos="802"/>
                <w:tab w:val="right" w:pos="1935"/>
              </w:tabs>
              <w:jc w:val="center"/>
              <w:rPr>
                <w:rFonts w:hint="eastAsia" w:ascii="宋体" w:hAnsi="宋体" w:eastAsia="宋体" w:cs="宋体"/>
                <w:kern w:val="0"/>
                <w:sz w:val="24"/>
                <w:szCs w:val="24"/>
              </w:rPr>
            </w:pPr>
            <w:r>
              <w:rPr>
                <w:rFonts w:hint="eastAsia"/>
              </w:rPr>
              <w:t>27.42</w:t>
            </w:r>
          </w:p>
        </w:tc>
        <w:tc>
          <w:tcPr>
            <w:tcW w:w="1991" w:type="dxa"/>
            <w:tcBorders>
              <w:top w:val="nil"/>
              <w:left w:val="nil"/>
              <w:bottom w:val="single" w:color="auto" w:sz="4" w:space="0"/>
              <w:right w:val="single" w:color="auto" w:sz="4" w:space="0"/>
            </w:tcBorders>
            <w:noWrap/>
            <w:vAlign w:val="center"/>
          </w:tcPr>
          <w:p>
            <w:pPr>
              <w:tabs>
                <w:tab w:val="center" w:pos="804"/>
                <w:tab w:val="right" w:pos="1939"/>
              </w:tabs>
              <w:jc w:val="center"/>
              <w:rPr>
                <w:rFonts w:hint="eastAsia" w:ascii="宋体" w:hAnsi="宋体" w:eastAsia="宋体" w:cs="宋体"/>
                <w:kern w:val="0"/>
                <w:sz w:val="24"/>
                <w:szCs w:val="24"/>
              </w:rPr>
            </w:pPr>
            <w:r>
              <w:rPr>
                <w:rFonts w:hint="eastAsia"/>
              </w:rPr>
              <w:t>27.42</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其他纪检监察事务支出</w:t>
            </w:r>
          </w:p>
        </w:tc>
        <w:tc>
          <w:tcPr>
            <w:tcW w:w="1952" w:type="dxa"/>
            <w:tcBorders>
              <w:top w:val="nil"/>
              <w:left w:val="nil"/>
              <w:bottom w:val="single" w:color="auto" w:sz="4" w:space="0"/>
              <w:right w:val="single" w:color="auto" w:sz="4" w:space="0"/>
            </w:tcBorders>
            <w:noWrap/>
            <w:vAlign w:val="center"/>
          </w:tcPr>
          <w:p>
            <w:pPr>
              <w:tabs>
                <w:tab w:val="center" w:pos="822"/>
                <w:tab w:val="right" w:pos="1974"/>
              </w:tabs>
              <w:jc w:val="center"/>
              <w:rPr>
                <w:rFonts w:hint="eastAsia" w:ascii="宋体" w:hAnsi="宋体" w:eastAsia="宋体" w:cs="宋体"/>
                <w:kern w:val="0"/>
                <w:sz w:val="24"/>
                <w:szCs w:val="24"/>
              </w:rPr>
            </w:pPr>
            <w:r>
              <w:rPr>
                <w:rFonts w:hint="eastAsia"/>
              </w:rPr>
              <w:t>6.3</w:t>
            </w:r>
          </w:p>
        </w:tc>
        <w:tc>
          <w:tcPr>
            <w:tcW w:w="1991" w:type="dxa"/>
            <w:tcBorders>
              <w:top w:val="nil"/>
              <w:left w:val="nil"/>
              <w:bottom w:val="single" w:color="auto" w:sz="4" w:space="0"/>
              <w:right w:val="single" w:color="auto" w:sz="4" w:space="0"/>
            </w:tcBorders>
            <w:noWrap/>
            <w:vAlign w:val="center"/>
          </w:tcPr>
          <w:p>
            <w:pPr>
              <w:tabs>
                <w:tab w:val="left" w:pos="392"/>
                <w:tab w:val="right" w:pos="1975"/>
              </w:tabs>
              <w:jc w:val="center"/>
              <w:rPr>
                <w:rFonts w:hint="eastAsia" w:ascii="宋体" w:hAnsi="宋体" w:eastAsia="宋体" w:cs="宋体"/>
                <w:kern w:val="0"/>
                <w:sz w:val="24"/>
                <w:szCs w:val="24"/>
              </w:rPr>
            </w:pPr>
            <w:r>
              <w:rPr>
                <w:rFonts w:hint="eastAsia"/>
              </w:rPr>
              <w:t>6.3</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其他社会工作事务支出</w:t>
            </w:r>
          </w:p>
        </w:tc>
        <w:tc>
          <w:tcPr>
            <w:tcW w:w="1952" w:type="dxa"/>
            <w:tcBorders>
              <w:top w:val="nil"/>
              <w:left w:val="nil"/>
              <w:bottom w:val="single" w:color="auto" w:sz="4" w:space="0"/>
              <w:right w:val="single" w:color="auto" w:sz="4" w:space="0"/>
            </w:tcBorders>
            <w:noWrap/>
            <w:vAlign w:val="center"/>
          </w:tcPr>
          <w:p>
            <w:pPr>
              <w:tabs>
                <w:tab w:val="left" w:pos="526"/>
              </w:tabs>
              <w:jc w:val="center"/>
              <w:rPr>
                <w:rFonts w:hint="eastAsia" w:ascii="宋体" w:hAnsi="宋体" w:eastAsia="宋体" w:cs="宋体"/>
                <w:kern w:val="0"/>
                <w:sz w:val="24"/>
                <w:szCs w:val="24"/>
              </w:rPr>
            </w:pPr>
            <w:r>
              <w:rPr>
                <w:rFonts w:hint="eastAsia"/>
              </w:rPr>
              <w:t>0.24</w:t>
            </w:r>
          </w:p>
        </w:tc>
        <w:tc>
          <w:tcPr>
            <w:tcW w:w="1991" w:type="dxa"/>
            <w:tcBorders>
              <w:top w:val="nil"/>
              <w:left w:val="nil"/>
              <w:bottom w:val="single" w:color="auto" w:sz="4" w:space="0"/>
              <w:right w:val="single" w:color="auto" w:sz="4" w:space="0"/>
            </w:tcBorders>
            <w:noWrap/>
            <w:vAlign w:val="center"/>
          </w:tcPr>
          <w:p>
            <w:pPr>
              <w:tabs>
                <w:tab w:val="left" w:pos="356"/>
              </w:tabs>
              <w:jc w:val="center"/>
              <w:rPr>
                <w:rFonts w:hint="eastAsia" w:ascii="宋体" w:hAnsi="宋体" w:eastAsia="宋体" w:cs="宋体"/>
                <w:kern w:val="0"/>
                <w:sz w:val="24"/>
                <w:szCs w:val="24"/>
              </w:rPr>
            </w:pPr>
            <w:r>
              <w:rPr>
                <w:rFonts w:hint="eastAsia"/>
              </w:rPr>
              <w:t>0.24</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rPr>
              <w:t>行政运行</w:t>
            </w:r>
          </w:p>
        </w:tc>
        <w:tc>
          <w:tcPr>
            <w:tcW w:w="1952"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7.74</w:t>
            </w:r>
          </w:p>
        </w:tc>
        <w:tc>
          <w:tcPr>
            <w:tcW w:w="1991"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7.74</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p>
            <w:pPr>
              <w:pStyle w:val="2"/>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社会保险业务管理事务</w:t>
            </w:r>
          </w:p>
        </w:tc>
        <w:tc>
          <w:tcPr>
            <w:tcW w:w="1952"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2.62</w:t>
            </w:r>
          </w:p>
        </w:tc>
        <w:tc>
          <w:tcPr>
            <w:tcW w:w="1991" w:type="dxa"/>
            <w:tcBorders>
              <w:top w:val="nil"/>
              <w:left w:val="nil"/>
              <w:bottom w:val="single" w:color="auto" w:sz="4" w:space="0"/>
              <w:right w:val="single" w:color="auto" w:sz="4" w:space="0"/>
            </w:tcBorders>
            <w:noWrap/>
            <w:vAlign w:val="center"/>
          </w:tcPr>
          <w:p>
            <w:pPr>
              <w:tabs>
                <w:tab w:val="left" w:pos="566"/>
              </w:tabs>
              <w:jc w:val="center"/>
              <w:rPr>
                <w:rFonts w:hint="eastAsia" w:ascii="宋体" w:hAnsi="宋体" w:eastAsia="宋体" w:cs="宋体"/>
                <w:kern w:val="0"/>
                <w:sz w:val="24"/>
                <w:szCs w:val="24"/>
              </w:rPr>
            </w:pPr>
            <w:r>
              <w:rPr>
                <w:rFonts w:hint="eastAsia"/>
              </w:rPr>
              <w:t>2.62</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机关事业单位基本养老保险缴费支出</w:t>
            </w:r>
          </w:p>
        </w:tc>
        <w:tc>
          <w:tcPr>
            <w:tcW w:w="1952"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67.12</w:t>
            </w:r>
          </w:p>
        </w:tc>
        <w:tc>
          <w:tcPr>
            <w:tcW w:w="1991" w:type="dxa"/>
            <w:tcBorders>
              <w:top w:val="nil"/>
              <w:left w:val="nil"/>
              <w:bottom w:val="single" w:color="auto" w:sz="4" w:space="0"/>
              <w:right w:val="single" w:color="auto" w:sz="4" w:space="0"/>
            </w:tcBorders>
            <w:noWrap/>
            <w:vAlign w:val="center"/>
          </w:tcPr>
          <w:p>
            <w:pPr>
              <w:tabs>
                <w:tab w:val="left" w:pos="386"/>
              </w:tabs>
              <w:jc w:val="center"/>
              <w:rPr>
                <w:rFonts w:hint="eastAsia" w:ascii="宋体" w:hAnsi="宋体" w:eastAsia="宋体" w:cs="宋体"/>
                <w:kern w:val="0"/>
                <w:sz w:val="24"/>
                <w:szCs w:val="24"/>
              </w:rPr>
            </w:pPr>
            <w:r>
              <w:rPr>
                <w:rFonts w:hint="eastAsia"/>
              </w:rPr>
              <w:t>67.12</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死亡抚恤</w:t>
            </w:r>
          </w:p>
        </w:tc>
        <w:tc>
          <w:tcPr>
            <w:tcW w:w="1952"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8.49</w:t>
            </w:r>
          </w:p>
        </w:tc>
        <w:tc>
          <w:tcPr>
            <w:tcW w:w="1991"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8.49</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行政单位医疗</w:t>
            </w:r>
          </w:p>
        </w:tc>
        <w:tc>
          <w:tcPr>
            <w:tcW w:w="1952"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36.49</w:t>
            </w:r>
          </w:p>
        </w:tc>
        <w:tc>
          <w:tcPr>
            <w:tcW w:w="1991"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36.49</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其他医疗救助支出</w:t>
            </w:r>
          </w:p>
        </w:tc>
        <w:tc>
          <w:tcPr>
            <w:tcW w:w="1952" w:type="dxa"/>
            <w:tcBorders>
              <w:top w:val="nil"/>
              <w:left w:val="nil"/>
              <w:bottom w:val="single" w:color="auto" w:sz="4" w:space="0"/>
              <w:right w:val="single" w:color="auto" w:sz="4" w:space="0"/>
            </w:tcBorders>
            <w:noWrap/>
            <w:vAlign w:val="center"/>
          </w:tcPr>
          <w:p>
            <w:pPr>
              <w:tabs>
                <w:tab w:val="center" w:pos="827"/>
                <w:tab w:val="right" w:pos="1985"/>
              </w:tabs>
              <w:jc w:val="center"/>
              <w:rPr>
                <w:rFonts w:hint="eastAsia" w:ascii="宋体" w:hAnsi="宋体" w:eastAsia="宋体" w:cs="宋体"/>
                <w:kern w:val="0"/>
                <w:sz w:val="24"/>
                <w:szCs w:val="24"/>
              </w:rPr>
            </w:pPr>
            <w:r>
              <w:rPr>
                <w:rFonts w:hint="eastAsia"/>
              </w:rPr>
              <w:t>2</w:t>
            </w:r>
          </w:p>
        </w:tc>
        <w:tc>
          <w:tcPr>
            <w:tcW w:w="1991" w:type="dxa"/>
            <w:tcBorders>
              <w:top w:val="nil"/>
              <w:left w:val="nil"/>
              <w:bottom w:val="single" w:color="auto" w:sz="4" w:space="0"/>
              <w:right w:val="single" w:color="auto" w:sz="4" w:space="0"/>
            </w:tcBorders>
            <w:noWrap/>
            <w:vAlign w:val="center"/>
          </w:tcPr>
          <w:p>
            <w:pPr>
              <w:tabs>
                <w:tab w:val="center" w:pos="822"/>
                <w:tab w:val="right" w:pos="1974"/>
              </w:tabs>
              <w:jc w:val="center"/>
              <w:rPr>
                <w:rFonts w:hint="eastAsia" w:ascii="宋体" w:hAnsi="宋体" w:eastAsia="宋体" w:cs="宋体"/>
                <w:kern w:val="0"/>
                <w:sz w:val="24"/>
                <w:szCs w:val="24"/>
              </w:rPr>
            </w:pPr>
            <w:r>
              <w:rPr>
                <w:rFonts w:hint="eastAsia"/>
              </w:rPr>
              <w:t>2</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优抚对象医疗补助</w:t>
            </w:r>
          </w:p>
        </w:tc>
        <w:tc>
          <w:tcPr>
            <w:tcW w:w="1952"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1.66</w:t>
            </w:r>
          </w:p>
        </w:tc>
        <w:tc>
          <w:tcPr>
            <w:tcW w:w="1991"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1.66</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其他医疗保障管理事务支出</w:t>
            </w:r>
          </w:p>
        </w:tc>
        <w:tc>
          <w:tcPr>
            <w:tcW w:w="1952"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3.51</w:t>
            </w:r>
          </w:p>
        </w:tc>
        <w:tc>
          <w:tcPr>
            <w:tcW w:w="1991"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3.51</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其他国有土地使用权出让收入安排的支出</w:t>
            </w:r>
          </w:p>
        </w:tc>
        <w:tc>
          <w:tcPr>
            <w:tcW w:w="1952"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r>
              <w:rPr>
                <w:rFonts w:hint="eastAsia"/>
              </w:rPr>
              <w:t>9.8</w:t>
            </w:r>
          </w:p>
        </w:tc>
        <w:tc>
          <w:tcPr>
            <w:tcW w:w="1991"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rPr>
              <w:t>9.8</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kern w:val="0"/>
                <w:sz w:val="22"/>
              </w:rPr>
            </w:pPr>
            <w:r>
              <w:rPr>
                <w:rFonts w:ascii="宋体" w:hAnsi="宋体" w:eastAsia="宋体" w:cs="宋体"/>
                <w:color w:val="000000"/>
                <w:kern w:val="0"/>
                <w:sz w:val="22"/>
              </w:rPr>
              <w:t>其他农业农村支出</w:t>
            </w:r>
          </w:p>
        </w:tc>
        <w:tc>
          <w:tcPr>
            <w:tcW w:w="1952" w:type="dxa"/>
            <w:tcBorders>
              <w:top w:val="nil"/>
              <w:left w:val="nil"/>
              <w:bottom w:val="single" w:color="auto" w:sz="4" w:space="0"/>
              <w:right w:val="single" w:color="auto" w:sz="4" w:space="0"/>
            </w:tcBorders>
            <w:noWrap/>
            <w:vAlign w:val="center"/>
          </w:tcPr>
          <w:p>
            <w:pPr>
              <w:jc w:val="center"/>
            </w:pPr>
            <w:r>
              <w:rPr>
                <w:rFonts w:hint="eastAsia"/>
              </w:rPr>
              <w:t>117.28</w:t>
            </w:r>
          </w:p>
        </w:tc>
        <w:tc>
          <w:tcPr>
            <w:tcW w:w="1991" w:type="dxa"/>
            <w:tcBorders>
              <w:top w:val="nil"/>
              <w:left w:val="nil"/>
              <w:bottom w:val="single" w:color="auto" w:sz="4" w:space="0"/>
              <w:right w:val="single" w:color="auto" w:sz="4" w:space="0"/>
            </w:tcBorders>
            <w:noWrap/>
            <w:vAlign w:val="center"/>
          </w:tcPr>
          <w:p>
            <w:pPr>
              <w:jc w:val="center"/>
            </w:pPr>
            <w:r>
              <w:rPr>
                <w:rFonts w:hint="eastAsia"/>
              </w:rPr>
              <w:t>117.28</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kern w:val="0"/>
                <w:sz w:val="22"/>
              </w:rPr>
            </w:pPr>
            <w:r>
              <w:rPr>
                <w:rFonts w:hint="eastAsia"/>
                <w:color w:val="262626"/>
                <w:sz w:val="22"/>
              </w:rPr>
              <w:t>其他林业和草原支出</w:t>
            </w:r>
          </w:p>
        </w:tc>
        <w:tc>
          <w:tcPr>
            <w:tcW w:w="1952" w:type="dxa"/>
            <w:tcBorders>
              <w:top w:val="nil"/>
              <w:left w:val="nil"/>
              <w:bottom w:val="single" w:color="auto" w:sz="4" w:space="0"/>
              <w:right w:val="single" w:color="auto" w:sz="4" w:space="0"/>
            </w:tcBorders>
            <w:noWrap/>
            <w:vAlign w:val="center"/>
          </w:tcPr>
          <w:p>
            <w:pPr>
              <w:jc w:val="center"/>
            </w:pPr>
            <w:r>
              <w:rPr>
                <w:rFonts w:hint="eastAsia"/>
              </w:rPr>
              <w:t>40</w:t>
            </w:r>
          </w:p>
        </w:tc>
        <w:tc>
          <w:tcPr>
            <w:tcW w:w="1991" w:type="dxa"/>
            <w:tcBorders>
              <w:top w:val="nil"/>
              <w:left w:val="nil"/>
              <w:bottom w:val="single" w:color="auto" w:sz="4" w:space="0"/>
              <w:right w:val="single" w:color="auto" w:sz="4" w:space="0"/>
            </w:tcBorders>
            <w:noWrap/>
            <w:vAlign w:val="center"/>
          </w:tcPr>
          <w:p>
            <w:pPr>
              <w:jc w:val="center"/>
            </w:pPr>
            <w:r>
              <w:rPr>
                <w:rFonts w:hint="eastAsia"/>
              </w:rPr>
              <w:t>40</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kern w:val="0"/>
                <w:sz w:val="22"/>
              </w:rPr>
            </w:pPr>
            <w:r>
              <w:rPr>
                <w:color w:val="262626"/>
                <w:sz w:val="22"/>
              </w:rPr>
              <w:t>对村民委员会和村党支部的补助</w:t>
            </w:r>
          </w:p>
        </w:tc>
        <w:tc>
          <w:tcPr>
            <w:tcW w:w="1952" w:type="dxa"/>
            <w:tcBorders>
              <w:top w:val="nil"/>
              <w:left w:val="nil"/>
              <w:bottom w:val="single" w:color="auto" w:sz="4" w:space="0"/>
              <w:right w:val="single" w:color="auto" w:sz="4" w:space="0"/>
            </w:tcBorders>
            <w:noWrap/>
            <w:vAlign w:val="center"/>
          </w:tcPr>
          <w:p>
            <w:pPr>
              <w:jc w:val="center"/>
            </w:pPr>
            <w:r>
              <w:rPr>
                <w:rFonts w:hint="eastAsia"/>
              </w:rPr>
              <w:t>75.5</w:t>
            </w:r>
          </w:p>
        </w:tc>
        <w:tc>
          <w:tcPr>
            <w:tcW w:w="1991" w:type="dxa"/>
            <w:tcBorders>
              <w:top w:val="nil"/>
              <w:left w:val="nil"/>
              <w:bottom w:val="single" w:color="auto" w:sz="4" w:space="0"/>
              <w:right w:val="single" w:color="auto" w:sz="4" w:space="0"/>
            </w:tcBorders>
            <w:noWrap/>
            <w:vAlign w:val="center"/>
          </w:tcPr>
          <w:p>
            <w:pPr>
              <w:jc w:val="center"/>
            </w:pPr>
            <w:r>
              <w:rPr>
                <w:rFonts w:hint="eastAsia"/>
              </w:rPr>
              <w:t>75.5</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ascii="宋体" w:hAnsi="宋体" w:eastAsia="宋体" w:cs="宋体"/>
                <w:color w:val="000000"/>
                <w:kern w:val="0"/>
                <w:sz w:val="22"/>
              </w:rPr>
            </w:pPr>
            <w:r>
              <w:rPr>
                <w:rFonts w:hint="eastAsia"/>
                <w:color w:val="262626"/>
                <w:sz w:val="22"/>
              </w:rPr>
              <w:t>其他政府性基金债务收入安排的支出</w:t>
            </w:r>
          </w:p>
        </w:tc>
        <w:tc>
          <w:tcPr>
            <w:tcW w:w="1952" w:type="dxa"/>
            <w:tcBorders>
              <w:top w:val="nil"/>
              <w:left w:val="nil"/>
              <w:bottom w:val="single" w:color="auto" w:sz="4" w:space="0"/>
              <w:right w:val="single" w:color="auto" w:sz="4" w:space="0"/>
            </w:tcBorders>
            <w:noWrap/>
            <w:vAlign w:val="center"/>
          </w:tcPr>
          <w:p>
            <w:pPr>
              <w:jc w:val="center"/>
            </w:pPr>
            <w:r>
              <w:rPr>
                <w:rFonts w:hint="eastAsia"/>
              </w:rPr>
              <w:t>70.1</w:t>
            </w:r>
          </w:p>
        </w:tc>
        <w:tc>
          <w:tcPr>
            <w:tcW w:w="1991" w:type="dxa"/>
            <w:tcBorders>
              <w:top w:val="nil"/>
              <w:left w:val="nil"/>
              <w:bottom w:val="single" w:color="auto" w:sz="4" w:space="0"/>
              <w:right w:val="single" w:color="auto" w:sz="4" w:space="0"/>
            </w:tcBorders>
            <w:noWrap/>
            <w:vAlign w:val="center"/>
          </w:tcPr>
          <w:p>
            <w:pPr>
              <w:jc w:val="cente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rPr>
              <w:t>70.1</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6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kern w:val="0"/>
                <w:sz w:val="24"/>
                <w:szCs w:val="24"/>
              </w:rPr>
            </w:pPr>
          </w:p>
        </w:tc>
        <w:tc>
          <w:tcPr>
            <w:tcW w:w="2364" w:type="dxa"/>
            <w:gridSpan w:val="3"/>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hint="eastAsia"/>
                <w:color w:val="262626"/>
                <w:sz w:val="22"/>
              </w:rPr>
            </w:pPr>
            <w:r>
              <w:rPr>
                <w:color w:val="262626"/>
                <w:sz w:val="22"/>
              </w:rPr>
              <w:t>用于体育事业的彩票公益金支出</w:t>
            </w:r>
          </w:p>
        </w:tc>
        <w:tc>
          <w:tcPr>
            <w:tcW w:w="1952" w:type="dxa"/>
            <w:tcBorders>
              <w:top w:val="nil"/>
              <w:left w:val="nil"/>
              <w:bottom w:val="single" w:color="auto" w:sz="4" w:space="0"/>
              <w:right w:val="single" w:color="auto" w:sz="4" w:space="0"/>
            </w:tcBorders>
            <w:noWrap/>
            <w:vAlign w:val="center"/>
          </w:tcPr>
          <w:p>
            <w:pPr>
              <w:jc w:val="center"/>
            </w:pPr>
            <w:r>
              <w:rPr>
                <w:rFonts w:hint="eastAsia"/>
              </w:rPr>
              <w:t>10</w:t>
            </w:r>
          </w:p>
        </w:tc>
        <w:tc>
          <w:tcPr>
            <w:tcW w:w="1991" w:type="dxa"/>
            <w:tcBorders>
              <w:top w:val="nil"/>
              <w:left w:val="nil"/>
              <w:bottom w:val="single" w:color="auto" w:sz="4" w:space="0"/>
              <w:right w:val="single" w:color="auto" w:sz="4" w:space="0"/>
            </w:tcBorders>
            <w:noWrap/>
            <w:vAlign w:val="center"/>
          </w:tcPr>
          <w:p>
            <w:pPr>
              <w:jc w:val="cente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rPr>
              <w:t>10</w:t>
            </w: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10"/>
            <w:tcBorders>
              <w:top w:val="nil"/>
              <w:left w:val="nil"/>
              <w:bottom w:val="nil"/>
              <w:right w:val="nil"/>
            </w:tcBorders>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rPr>
          <w:rFonts w:ascii="Times New Roman" w:hAnsi="Times New Roman" w:eastAsia="方正小标宋_GBK" w:cs="Times New Roman"/>
          <w:color w:val="000000"/>
          <w:kern w:val="0"/>
          <w:sz w:val="36"/>
          <w:szCs w:val="21"/>
        </w:rPr>
      </w:pPr>
      <w:r>
        <w:rPr>
          <w:rFonts w:hint="eastAsia" w:ascii="Times New Roman" w:hAnsi="Times New Roman" w:eastAsia="方正小标宋_GBK" w:cs="Times New Roman"/>
          <w:color w:val="000000"/>
          <w:kern w:val="0"/>
          <w:sz w:val="36"/>
          <w:szCs w:val="21"/>
        </w:rPr>
        <w:t xml:space="preserve">  </w:t>
      </w:r>
    </w:p>
    <w:p>
      <w:pPr>
        <w:rPr>
          <w:rFonts w:ascii="Times New Roman" w:hAnsi="Times New Roman" w:eastAsia="方正小标宋_GBK" w:cs="Times New Roman"/>
          <w:color w:val="000000"/>
          <w:kern w:val="0"/>
          <w:sz w:val="36"/>
          <w:szCs w:val="21"/>
        </w:rPr>
      </w:pPr>
    </w:p>
    <w:p>
      <w:pPr>
        <w:pStyle w:val="2"/>
        <w:rPr>
          <w:rFonts w:ascii="Times New Roman" w:hAnsi="Times New Roman" w:eastAsia="方正小标宋_GBK" w:cs="Times New Roman"/>
          <w:color w:val="000000"/>
          <w:kern w:val="0"/>
          <w:sz w:val="36"/>
          <w:szCs w:val="21"/>
        </w:rPr>
      </w:pPr>
    </w:p>
    <w:p>
      <w:pPr>
        <w:pStyle w:val="3"/>
        <w:ind w:firstLine="480"/>
        <w:rPr>
          <w:rFonts w:hint="eastAsia"/>
        </w:rPr>
      </w:pPr>
    </w:p>
    <w:p>
      <w:pPr>
        <w:pStyle w:val="2"/>
        <w:rPr>
          <w:rFonts w:ascii="Times New Roman" w:hAnsi="Times New Roman" w:eastAsia="方正小标宋_GBK" w:cs="Times New Roman"/>
          <w:color w:val="000000"/>
          <w:kern w:val="0"/>
          <w:sz w:val="36"/>
          <w:szCs w:val="21"/>
        </w:rPr>
      </w:pPr>
    </w:p>
    <w:p>
      <w:pPr>
        <w:pStyle w:val="3"/>
        <w:ind w:firstLine="480"/>
        <w:rPr>
          <w:rFonts w:hint="eastAsia"/>
        </w:rPr>
      </w:pPr>
    </w:p>
    <w:tbl>
      <w:tblPr>
        <w:tblStyle w:val="8"/>
        <w:tblW w:w="15521" w:type="dxa"/>
        <w:tblInd w:w="93" w:type="dxa"/>
        <w:tblLayout w:type="fixed"/>
        <w:tblCellMar>
          <w:top w:w="0" w:type="dxa"/>
          <w:left w:w="108" w:type="dxa"/>
          <w:bottom w:w="0" w:type="dxa"/>
          <w:right w:w="108" w:type="dxa"/>
        </w:tblCellMar>
      </w:tblPr>
      <w:tblGrid>
        <w:gridCol w:w="3530"/>
        <w:gridCol w:w="432"/>
        <w:gridCol w:w="1292"/>
        <w:gridCol w:w="381"/>
        <w:gridCol w:w="2862"/>
        <w:gridCol w:w="620"/>
        <w:gridCol w:w="431"/>
        <w:gridCol w:w="1546"/>
        <w:gridCol w:w="1510"/>
        <w:gridCol w:w="1371"/>
        <w:gridCol w:w="1546"/>
      </w:tblGrid>
      <w:tr>
        <w:tblPrEx>
          <w:tblCellMar>
            <w:top w:w="0" w:type="dxa"/>
            <w:left w:w="108" w:type="dxa"/>
            <w:bottom w:w="0" w:type="dxa"/>
            <w:right w:w="108" w:type="dxa"/>
          </w:tblCellMar>
        </w:tblPrEx>
        <w:trPr>
          <w:trHeight w:val="285" w:hRule="atLeast"/>
        </w:trPr>
        <w:tc>
          <w:tcPr>
            <w:tcW w:w="3530" w:type="dxa"/>
            <w:tcBorders>
              <w:top w:val="nil"/>
              <w:left w:val="nil"/>
              <w:bottom w:val="nil"/>
              <w:right w:val="nil"/>
            </w:tcBorders>
            <w:noWrap/>
            <w:vAlign w:val="center"/>
          </w:tcPr>
          <w:p>
            <w:pPr>
              <w:widowControl/>
              <w:jc w:val="left"/>
              <w:rPr>
                <w:rFonts w:hint="eastAsia" w:ascii="黑体" w:hAnsi="黑体" w:eastAsia="黑体" w:cs="宋体"/>
                <w:kern w:val="0"/>
                <w:sz w:val="24"/>
                <w:szCs w:val="24"/>
              </w:rPr>
            </w:pPr>
            <w:bookmarkStart w:id="0" w:name="RANGE!A1:I22"/>
            <w:bookmarkEnd w:id="0"/>
            <w:bookmarkStart w:id="1" w:name="RANGE!A1:F16"/>
          </w:p>
        </w:tc>
        <w:tc>
          <w:tcPr>
            <w:tcW w:w="432" w:type="dxa"/>
            <w:tcBorders>
              <w:top w:val="nil"/>
              <w:left w:val="nil"/>
              <w:bottom w:val="nil"/>
              <w:right w:val="nil"/>
            </w:tcBorders>
            <w:noWrap/>
            <w:vAlign w:val="center"/>
          </w:tcPr>
          <w:p>
            <w:pPr>
              <w:widowControl/>
              <w:jc w:val="right"/>
              <w:rPr>
                <w:rFonts w:hint="eastAsia" w:ascii="宋体" w:hAnsi="宋体" w:eastAsia="宋体" w:cs="宋体"/>
                <w:kern w:val="0"/>
                <w:sz w:val="24"/>
                <w:szCs w:val="24"/>
              </w:rPr>
            </w:pPr>
          </w:p>
        </w:tc>
        <w:tc>
          <w:tcPr>
            <w:tcW w:w="1673" w:type="dxa"/>
            <w:gridSpan w:val="2"/>
            <w:tcBorders>
              <w:top w:val="nil"/>
              <w:left w:val="nil"/>
              <w:bottom w:val="nil"/>
              <w:right w:val="nil"/>
            </w:tcBorders>
            <w:noWrap/>
            <w:vAlign w:val="center"/>
          </w:tcPr>
          <w:p>
            <w:pPr>
              <w:widowControl/>
              <w:jc w:val="right"/>
              <w:rPr>
                <w:rFonts w:hint="eastAsia" w:ascii="宋体" w:hAnsi="宋体" w:eastAsia="宋体" w:cs="宋体"/>
                <w:kern w:val="0"/>
                <w:sz w:val="24"/>
                <w:szCs w:val="24"/>
              </w:rPr>
            </w:pPr>
          </w:p>
        </w:tc>
        <w:tc>
          <w:tcPr>
            <w:tcW w:w="3482" w:type="dxa"/>
            <w:gridSpan w:val="2"/>
            <w:tcBorders>
              <w:top w:val="nil"/>
              <w:left w:val="nil"/>
              <w:bottom w:val="nil"/>
              <w:right w:val="nil"/>
            </w:tcBorders>
            <w:noWrap/>
            <w:vAlign w:val="center"/>
          </w:tcPr>
          <w:p>
            <w:pPr>
              <w:widowControl/>
              <w:jc w:val="right"/>
              <w:rPr>
                <w:rFonts w:hint="eastAsia" w:ascii="宋体" w:hAnsi="宋体" w:eastAsia="宋体" w:cs="宋体"/>
                <w:kern w:val="0"/>
                <w:sz w:val="24"/>
                <w:szCs w:val="24"/>
              </w:rPr>
            </w:pPr>
          </w:p>
        </w:tc>
        <w:tc>
          <w:tcPr>
            <w:tcW w:w="431" w:type="dxa"/>
            <w:tcBorders>
              <w:top w:val="nil"/>
              <w:left w:val="nil"/>
              <w:bottom w:val="nil"/>
              <w:right w:val="nil"/>
            </w:tcBorders>
            <w:noWrap/>
            <w:vAlign w:val="center"/>
          </w:tcPr>
          <w:p>
            <w:pPr>
              <w:widowControl/>
              <w:jc w:val="right"/>
              <w:rPr>
                <w:rFonts w:hint="eastAsia" w:ascii="宋体" w:hAnsi="宋体" w:eastAsia="宋体" w:cs="宋体"/>
                <w:kern w:val="0"/>
                <w:sz w:val="24"/>
                <w:szCs w:val="24"/>
              </w:rPr>
            </w:pPr>
          </w:p>
        </w:tc>
        <w:tc>
          <w:tcPr>
            <w:tcW w:w="1546" w:type="dxa"/>
            <w:tcBorders>
              <w:top w:val="nil"/>
              <w:left w:val="nil"/>
              <w:bottom w:val="nil"/>
              <w:right w:val="nil"/>
            </w:tcBorders>
            <w:noWrap/>
            <w:vAlign w:val="center"/>
          </w:tcPr>
          <w:p>
            <w:pPr>
              <w:widowControl/>
              <w:jc w:val="right"/>
              <w:rPr>
                <w:rFonts w:hint="eastAsia" w:ascii="宋体" w:hAnsi="宋体" w:eastAsia="宋体" w:cs="宋体"/>
                <w:kern w:val="0"/>
                <w:sz w:val="24"/>
                <w:szCs w:val="24"/>
              </w:rPr>
            </w:pPr>
          </w:p>
        </w:tc>
        <w:tc>
          <w:tcPr>
            <w:tcW w:w="1510" w:type="dxa"/>
            <w:tcBorders>
              <w:top w:val="nil"/>
              <w:left w:val="nil"/>
              <w:bottom w:val="nil"/>
              <w:right w:val="nil"/>
            </w:tcBorders>
            <w:noWrap/>
            <w:vAlign w:val="center"/>
          </w:tcPr>
          <w:p>
            <w:pPr>
              <w:widowControl/>
              <w:jc w:val="right"/>
              <w:rPr>
                <w:rFonts w:hint="eastAsia" w:ascii="宋体" w:hAnsi="宋体" w:eastAsia="宋体" w:cs="宋体"/>
                <w:kern w:val="0"/>
                <w:sz w:val="24"/>
                <w:szCs w:val="24"/>
              </w:rPr>
            </w:pPr>
          </w:p>
        </w:tc>
        <w:tc>
          <w:tcPr>
            <w:tcW w:w="1371" w:type="dxa"/>
            <w:tcBorders>
              <w:top w:val="nil"/>
              <w:left w:val="nil"/>
              <w:bottom w:val="nil"/>
              <w:right w:val="nil"/>
            </w:tcBorders>
            <w:noWrap/>
            <w:vAlign w:val="center"/>
          </w:tcPr>
          <w:p>
            <w:pPr>
              <w:widowControl/>
              <w:jc w:val="right"/>
              <w:rPr>
                <w:rFonts w:hint="eastAsia" w:ascii="宋体" w:hAnsi="宋体" w:eastAsia="宋体" w:cs="宋体"/>
                <w:kern w:val="0"/>
                <w:sz w:val="24"/>
                <w:szCs w:val="24"/>
              </w:rPr>
            </w:pPr>
          </w:p>
        </w:tc>
        <w:tc>
          <w:tcPr>
            <w:tcW w:w="1546" w:type="dxa"/>
            <w:tcBorders>
              <w:top w:val="nil"/>
              <w:left w:val="nil"/>
              <w:bottom w:val="nil"/>
              <w:right w:val="nil"/>
            </w:tcBorders>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noWrap/>
            <w:vAlign w:val="center"/>
          </w:tcPr>
          <w:p>
            <w:pPr>
              <w:widowControl/>
              <w:jc w:val="center"/>
              <w:rPr>
                <w:rFonts w:hint="eastAsia"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30"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432"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92"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3863" w:type="dxa"/>
            <w:gridSpan w:val="3"/>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43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46"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10"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37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46" w:type="dxa"/>
            <w:tcBorders>
              <w:top w:val="nil"/>
              <w:left w:val="nil"/>
              <w:bottom w:val="nil"/>
              <w:right w:val="nil"/>
            </w:tcBorders>
            <w:shd w:val="clear" w:color="000000" w:fill="FFFFFF"/>
            <w:noWrap/>
            <w:vAlign w:val="center"/>
          </w:tcPr>
          <w:p>
            <w:pPr>
              <w:widowControl/>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30" w:type="dxa"/>
            <w:tcBorders>
              <w:top w:val="nil"/>
              <w:left w:val="nil"/>
              <w:bottom w:val="nil"/>
              <w:right w:val="nil"/>
            </w:tcBorders>
            <w:shd w:val="clear" w:color="000000" w:fill="FFFFFF"/>
            <w:noWrap/>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2"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92"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3863" w:type="dxa"/>
            <w:gridSpan w:val="3"/>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43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46"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10"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371"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46" w:type="dxa"/>
            <w:tcBorders>
              <w:top w:val="nil"/>
              <w:left w:val="nil"/>
              <w:bottom w:val="nil"/>
              <w:right w:val="nil"/>
            </w:tcBorders>
            <w:shd w:val="clear" w:color="000000" w:fill="FFFFFF"/>
            <w:noWrap/>
            <w:vAlign w:val="center"/>
          </w:tcPr>
          <w:p>
            <w:pPr>
              <w:widowControl/>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254"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收入</w:t>
            </w:r>
          </w:p>
        </w:tc>
        <w:tc>
          <w:tcPr>
            <w:tcW w:w="10267"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3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项    目</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行次</w:t>
            </w:r>
          </w:p>
        </w:tc>
        <w:tc>
          <w:tcPr>
            <w:tcW w:w="129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3243"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项    目</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行次</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合计</w:t>
            </w:r>
          </w:p>
        </w:tc>
        <w:tc>
          <w:tcPr>
            <w:tcW w:w="151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7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4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栏    次</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9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3243"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栏    次</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一、一般公共预算财政拨款</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1165.58　</w:t>
            </w:r>
          </w:p>
        </w:tc>
        <w:tc>
          <w:tcPr>
            <w:tcW w:w="3243"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一、一般公共服务支出</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15</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802.98</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802.98</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二、政府性基金预算财政拨款</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89.9　</w:t>
            </w:r>
          </w:p>
        </w:tc>
        <w:tc>
          <w:tcPr>
            <w:tcW w:w="3243"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二、</w:t>
            </w:r>
            <w:r>
              <w:rPr>
                <w:rFonts w:ascii="宋体" w:hAnsi="宋体" w:eastAsia="宋体" w:cs="宋体"/>
                <w:kern w:val="0"/>
                <w:sz w:val="22"/>
              </w:rPr>
              <w:t>教育支出</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16</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7.74</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7.74</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三、国有资本经营预算财政拨款</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3</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三、</w:t>
            </w:r>
            <w:r>
              <w:rPr>
                <w:rFonts w:ascii="宋体" w:hAnsi="宋体" w:eastAsia="宋体" w:cs="宋体"/>
                <w:kern w:val="0"/>
                <w:sz w:val="22"/>
              </w:rPr>
              <w:t>社会保障和就业支出</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17</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78.42</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78.42</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4</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四、</w:t>
            </w:r>
            <w:r>
              <w:rPr>
                <w:rFonts w:ascii="宋体" w:hAnsi="宋体" w:eastAsia="宋体" w:cs="宋体"/>
                <w:kern w:val="0"/>
                <w:sz w:val="22"/>
              </w:rPr>
              <w:t>卫生健康支出</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18</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43.66</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43.66</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5</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left"/>
              <w:textAlignment w:val="center"/>
              <w:rPr>
                <w:rFonts w:hint="eastAsia" w:ascii="宋体" w:hAnsi="宋体" w:eastAsia="宋体" w:cs="宋体"/>
                <w:kern w:val="0"/>
                <w:sz w:val="22"/>
              </w:rPr>
            </w:pPr>
            <w:r>
              <w:rPr>
                <w:rFonts w:hint="eastAsia" w:ascii="宋体" w:hAnsi="宋体" w:eastAsia="宋体" w:cs="宋体"/>
                <w:color w:val="000000"/>
                <w:kern w:val="0"/>
                <w:sz w:val="22"/>
              </w:rPr>
              <w:t>五、</w:t>
            </w:r>
            <w:r>
              <w:rPr>
                <w:rFonts w:ascii="宋体" w:hAnsi="宋体" w:eastAsia="宋体" w:cs="宋体"/>
                <w:color w:val="000000"/>
                <w:kern w:val="0"/>
                <w:sz w:val="22"/>
              </w:rPr>
              <w:t>城乡社区支出</w:t>
            </w:r>
          </w:p>
        </w:tc>
        <w:tc>
          <w:tcPr>
            <w:tcW w:w="1051" w:type="dxa"/>
            <w:gridSpan w:val="2"/>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r>
              <w:rPr>
                <w:rFonts w:hint="eastAsia" w:ascii="宋体" w:hAnsi="宋体" w:eastAsia="宋体" w:cs="宋体"/>
                <w:color w:val="000000"/>
                <w:kern w:val="0"/>
                <w:sz w:val="22"/>
              </w:rPr>
              <w:t>40</w:t>
            </w:r>
          </w:p>
        </w:tc>
        <w:tc>
          <w:tcPr>
            <w:tcW w:w="1546" w:type="dxa"/>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r>
              <w:rPr>
                <w:rFonts w:hint="eastAsia" w:ascii="宋体" w:hAnsi="宋体" w:eastAsia="宋体" w:cs="宋体"/>
                <w:color w:val="000000"/>
                <w:kern w:val="0"/>
                <w:sz w:val="22"/>
              </w:rPr>
              <w:t>9.8</w:t>
            </w:r>
          </w:p>
        </w:tc>
        <w:tc>
          <w:tcPr>
            <w:tcW w:w="1510" w:type="dxa"/>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color w:val="000000"/>
                <w:kern w:val="0"/>
                <w:sz w:val="22"/>
              </w:rPr>
              <w:t>9.8</w:t>
            </w: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6</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left"/>
              <w:textAlignment w:val="center"/>
              <w:rPr>
                <w:rFonts w:hint="eastAsia" w:ascii="宋体" w:hAnsi="宋体" w:eastAsia="宋体" w:cs="宋体"/>
                <w:kern w:val="0"/>
                <w:sz w:val="22"/>
              </w:rPr>
            </w:pPr>
            <w:r>
              <w:rPr>
                <w:rFonts w:hint="eastAsia" w:ascii="宋体" w:hAnsi="宋体" w:eastAsia="宋体" w:cs="宋体"/>
                <w:color w:val="000000"/>
                <w:kern w:val="0"/>
                <w:sz w:val="22"/>
              </w:rPr>
              <w:t>六、</w:t>
            </w:r>
            <w:r>
              <w:rPr>
                <w:rFonts w:ascii="宋体" w:hAnsi="宋体" w:eastAsia="宋体" w:cs="宋体"/>
                <w:color w:val="000000"/>
                <w:kern w:val="0"/>
                <w:sz w:val="22"/>
              </w:rPr>
              <w:t>农林水支出</w:t>
            </w:r>
          </w:p>
        </w:tc>
        <w:tc>
          <w:tcPr>
            <w:tcW w:w="1051" w:type="dxa"/>
            <w:gridSpan w:val="2"/>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r>
              <w:rPr>
                <w:rFonts w:hint="eastAsia" w:ascii="宋体" w:hAnsi="宋体" w:eastAsia="宋体" w:cs="宋体"/>
                <w:color w:val="000000"/>
                <w:kern w:val="0"/>
                <w:sz w:val="22"/>
              </w:rPr>
              <w:t>44</w:t>
            </w:r>
          </w:p>
        </w:tc>
        <w:tc>
          <w:tcPr>
            <w:tcW w:w="1546" w:type="dxa"/>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r>
              <w:rPr>
                <w:rFonts w:hint="eastAsia" w:ascii="宋体" w:hAnsi="宋体" w:eastAsia="宋体" w:cs="宋体"/>
                <w:color w:val="000000"/>
                <w:kern w:val="0"/>
                <w:sz w:val="22"/>
              </w:rPr>
              <w:t>232.78</w:t>
            </w:r>
          </w:p>
        </w:tc>
        <w:tc>
          <w:tcPr>
            <w:tcW w:w="1510" w:type="dxa"/>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r>
              <w:rPr>
                <w:rFonts w:hint="eastAsia" w:ascii="宋体" w:hAnsi="宋体" w:eastAsia="宋体" w:cs="宋体"/>
                <w:color w:val="000000"/>
                <w:kern w:val="0"/>
                <w:sz w:val="22"/>
              </w:rPr>
              <w:t>232.78</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7</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left"/>
              <w:textAlignment w:val="center"/>
              <w:rPr>
                <w:rFonts w:hint="eastAsia" w:ascii="宋体" w:hAnsi="宋体" w:eastAsia="宋体" w:cs="宋体"/>
                <w:kern w:val="0"/>
                <w:sz w:val="24"/>
                <w:szCs w:val="24"/>
              </w:rPr>
            </w:pPr>
            <w:r>
              <w:rPr>
                <w:rFonts w:hint="eastAsia" w:ascii="宋体" w:hAnsi="宋体" w:eastAsia="宋体" w:cs="宋体"/>
                <w:color w:val="000000"/>
                <w:kern w:val="0"/>
                <w:sz w:val="22"/>
              </w:rPr>
              <w:t>七、其他支出</w:t>
            </w:r>
          </w:p>
        </w:tc>
        <w:tc>
          <w:tcPr>
            <w:tcW w:w="1051" w:type="dxa"/>
            <w:gridSpan w:val="2"/>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r>
              <w:rPr>
                <w:rFonts w:hint="eastAsia" w:ascii="宋体" w:hAnsi="宋体" w:eastAsia="宋体" w:cs="宋体"/>
                <w:color w:val="000000"/>
                <w:kern w:val="0"/>
                <w:sz w:val="22"/>
              </w:rPr>
              <w:t>54</w:t>
            </w:r>
          </w:p>
        </w:tc>
        <w:tc>
          <w:tcPr>
            <w:tcW w:w="1546" w:type="dxa"/>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r>
              <w:rPr>
                <w:rFonts w:hint="eastAsia" w:ascii="宋体" w:hAnsi="宋体" w:eastAsia="宋体" w:cs="宋体"/>
                <w:color w:val="000000"/>
                <w:kern w:val="0"/>
                <w:sz w:val="22"/>
              </w:rPr>
              <w:t>80.1</w:t>
            </w:r>
          </w:p>
        </w:tc>
        <w:tc>
          <w:tcPr>
            <w:tcW w:w="1510" w:type="dxa"/>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r>
              <w:rPr>
                <w:rFonts w:hint="eastAsia" w:ascii="宋体" w:hAnsi="宋体" w:eastAsia="宋体" w:cs="宋体"/>
                <w:color w:val="000000"/>
                <w:kern w:val="0"/>
                <w:sz w:val="22"/>
              </w:rPr>
              <w:t>80.1</w:t>
            </w:r>
          </w:p>
        </w:tc>
        <w:tc>
          <w:tcPr>
            <w:tcW w:w="154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8</w:t>
            </w:r>
          </w:p>
        </w:tc>
        <w:tc>
          <w:tcPr>
            <w:tcW w:w="129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left"/>
              <w:textAlignment w:val="center"/>
              <w:rPr>
                <w:rFonts w:hint="eastAsia" w:ascii="宋体" w:hAnsi="宋体" w:eastAsia="宋体" w:cs="宋体"/>
                <w:kern w:val="0"/>
                <w:sz w:val="22"/>
              </w:rPr>
            </w:pPr>
          </w:p>
        </w:tc>
        <w:tc>
          <w:tcPr>
            <w:tcW w:w="1051" w:type="dxa"/>
            <w:gridSpan w:val="2"/>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r>
              <w:rPr>
                <w:rFonts w:hint="eastAsia" w:ascii="宋体" w:hAnsi="宋体" w:eastAsia="宋体" w:cs="宋体"/>
                <w:color w:val="000000"/>
                <w:kern w:val="0"/>
                <w:sz w:val="22"/>
              </w:rPr>
              <w:t>55</w:t>
            </w:r>
          </w:p>
        </w:tc>
        <w:tc>
          <w:tcPr>
            <w:tcW w:w="1546" w:type="dxa"/>
            <w:tcBorders>
              <w:top w:val="nil"/>
              <w:left w:val="nil"/>
              <w:bottom w:val="single" w:color="auto" w:sz="4" w:space="0"/>
              <w:right w:val="single" w:color="auto" w:sz="4" w:space="0"/>
            </w:tcBorders>
            <w:noWrap/>
            <w:vAlign w:val="center"/>
          </w:tcPr>
          <w:p>
            <w:pPr>
              <w:widowControl/>
              <w:jc w:val="center"/>
              <w:textAlignment w:val="center"/>
              <w:rPr>
                <w:rFonts w:hint="eastAsia" w:ascii="宋体" w:hAnsi="宋体" w:eastAsia="宋体" w:cs="宋体"/>
                <w:kern w:val="0"/>
                <w:sz w:val="22"/>
              </w:rPr>
            </w:pPr>
          </w:p>
        </w:tc>
        <w:tc>
          <w:tcPr>
            <w:tcW w:w="1510" w:type="dxa"/>
            <w:tcBorders>
              <w:top w:val="nil"/>
              <w:left w:val="nil"/>
              <w:bottom w:val="single" w:color="auto" w:sz="4" w:space="0"/>
              <w:right w:val="single" w:color="auto" w:sz="4" w:space="0"/>
            </w:tcBorders>
            <w:noWrap/>
            <w:vAlign w:val="center"/>
          </w:tcPr>
          <w:p>
            <w:pPr>
              <w:jc w:val="center"/>
              <w:rPr>
                <w:rFonts w:hint="eastAsia" w:ascii="宋体" w:hAnsi="宋体" w:eastAsia="宋体" w:cs="宋体"/>
                <w:kern w:val="0"/>
                <w:sz w:val="22"/>
              </w:rPr>
            </w:pP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b/>
                <w:bCs/>
                <w:kern w:val="0"/>
                <w:sz w:val="22"/>
              </w:rPr>
            </w:pPr>
            <w:r>
              <w:rPr>
                <w:rFonts w:hint="eastAsia" w:ascii="宋体" w:hAnsi="宋体" w:eastAsia="宋体" w:cs="宋体"/>
                <w:b/>
                <w:bCs/>
                <w:kern w:val="0"/>
                <w:sz w:val="22"/>
              </w:rPr>
              <w:t>本年收入合计</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9</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1255.48　</w:t>
            </w:r>
          </w:p>
        </w:tc>
        <w:tc>
          <w:tcPr>
            <w:tcW w:w="3243"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b/>
                <w:bCs/>
                <w:kern w:val="0"/>
                <w:sz w:val="22"/>
              </w:rPr>
            </w:pPr>
            <w:r>
              <w:rPr>
                <w:rFonts w:hint="eastAsia" w:ascii="宋体" w:hAnsi="宋体" w:eastAsia="宋体" w:cs="宋体"/>
                <w:b/>
                <w:bCs/>
                <w:kern w:val="0"/>
                <w:sz w:val="22"/>
              </w:rPr>
              <w:t>本年支出合计</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23</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1255.48</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1165.58</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89.8　</w:t>
            </w:r>
          </w:p>
        </w:tc>
        <w:tc>
          <w:tcPr>
            <w:tcW w:w="1546"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年初财政拨款结转和结余</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10</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年末财政拨款结转和结余</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24</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xml:space="preserve">   一般公共预算财政拨款</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11</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25</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504" w:hRule="atLeast"/>
        </w:trPr>
        <w:tc>
          <w:tcPr>
            <w:tcW w:w="353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12</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26</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534" w:hRule="atLeast"/>
        </w:trPr>
        <w:tc>
          <w:tcPr>
            <w:tcW w:w="353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2"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13</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43"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105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27</w:t>
            </w:r>
          </w:p>
        </w:tc>
        <w:tc>
          <w:tcPr>
            <w:tcW w:w="154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1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37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546"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3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b/>
                <w:bCs/>
                <w:kern w:val="0"/>
                <w:sz w:val="22"/>
              </w:rPr>
            </w:pPr>
            <w:r>
              <w:rPr>
                <w:rFonts w:hint="eastAsia" w:ascii="宋体" w:hAnsi="宋体" w:eastAsia="宋体" w:cs="宋体"/>
                <w:b/>
                <w:bCs/>
                <w:kern w:val="0"/>
                <w:sz w:val="22"/>
              </w:rPr>
              <w:t>总计</w:t>
            </w:r>
          </w:p>
        </w:tc>
        <w:tc>
          <w:tcPr>
            <w:tcW w:w="43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14</w:t>
            </w:r>
          </w:p>
        </w:tc>
        <w:tc>
          <w:tcPr>
            <w:tcW w:w="1292"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1255.48　</w:t>
            </w:r>
          </w:p>
        </w:tc>
        <w:tc>
          <w:tcPr>
            <w:tcW w:w="3243"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b/>
                <w:bCs/>
                <w:kern w:val="0"/>
                <w:sz w:val="22"/>
              </w:rPr>
            </w:pPr>
            <w:r>
              <w:rPr>
                <w:rFonts w:hint="eastAsia" w:ascii="宋体" w:hAnsi="宋体" w:eastAsia="宋体" w:cs="宋体"/>
                <w:b/>
                <w:bCs/>
                <w:kern w:val="0"/>
                <w:sz w:val="22"/>
              </w:rPr>
              <w:t>总计</w:t>
            </w:r>
          </w:p>
        </w:tc>
        <w:tc>
          <w:tcPr>
            <w:tcW w:w="105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28</w:t>
            </w:r>
          </w:p>
        </w:tc>
        <w:tc>
          <w:tcPr>
            <w:tcW w:w="1546"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1255.48</w:t>
            </w:r>
          </w:p>
        </w:tc>
        <w:tc>
          <w:tcPr>
            <w:tcW w:w="1510"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37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b/>
                <w:bCs/>
                <w:kern w:val="0"/>
                <w:sz w:val="22"/>
              </w:rPr>
            </w:pPr>
            <w:r>
              <w:rPr>
                <w:rFonts w:hint="eastAsia" w:ascii="宋体" w:hAnsi="宋体" w:eastAsia="宋体" w:cs="宋体"/>
                <w:b/>
                <w:bCs/>
                <w:kern w:val="0"/>
                <w:sz w:val="22"/>
              </w:rPr>
              <w:t>　</w:t>
            </w:r>
          </w:p>
        </w:tc>
        <w:tc>
          <w:tcPr>
            <w:tcW w:w="1546"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1255.48</w:t>
            </w:r>
          </w:p>
        </w:tc>
        <w:tc>
          <w:tcPr>
            <w:tcW w:w="349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1165.58</w:t>
            </w:r>
          </w:p>
        </w:tc>
        <w:tc>
          <w:tcPr>
            <w:tcW w:w="3000" w:type="dxa"/>
            <w:tcBorders>
              <w:top w:val="nil"/>
              <w:left w:val="nil"/>
              <w:bottom w:val="single" w:color="auto" w:sz="4" w:space="0"/>
              <w:right w:val="single" w:color="auto" w:sz="8" w:space="0"/>
            </w:tcBorders>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89.9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r>
              <w:rPr>
                <w:rFonts w:hint="eastAsia" w:ascii="宋体" w:hAnsi="宋体" w:eastAsia="宋体" w:cs="宋体"/>
                <w:kern w:val="0"/>
                <w:sz w:val="24"/>
                <w:szCs w:val="24"/>
              </w:rPr>
              <w:t>　</w:t>
            </w: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代表工作</w:t>
            </w:r>
          </w:p>
        </w:tc>
        <w:tc>
          <w:tcPr>
            <w:tcW w:w="3000" w:type="dxa"/>
            <w:tcBorders>
              <w:top w:val="nil"/>
              <w:left w:val="nil"/>
              <w:bottom w:val="single" w:color="auto" w:sz="4" w:space="0"/>
              <w:right w:val="single" w:color="auto" w:sz="4" w:space="0"/>
            </w:tcBorders>
            <w:vAlign w:val="center"/>
          </w:tcPr>
          <w:p>
            <w:pPr>
              <w:tabs>
                <w:tab w:val="center" w:pos="824"/>
                <w:tab w:val="right" w:pos="1978"/>
              </w:tabs>
              <w:jc w:val="center"/>
              <w:rPr>
                <w:rFonts w:ascii="Times New Roman" w:hAnsi="Times New Roman" w:eastAsia="仿宋_GB2312" w:cs="Times New Roman"/>
                <w:kern w:val="0"/>
                <w:szCs w:val="21"/>
              </w:rPr>
            </w:pPr>
            <w:r>
              <w:rPr>
                <w:rFonts w:hint="eastAsia"/>
              </w:rPr>
              <w:t>3.18</w:t>
            </w:r>
          </w:p>
        </w:tc>
        <w:tc>
          <w:tcPr>
            <w:tcW w:w="3492" w:type="dxa"/>
            <w:tcBorders>
              <w:top w:val="nil"/>
              <w:left w:val="nil"/>
              <w:bottom w:val="single" w:color="auto" w:sz="4" w:space="0"/>
              <w:right w:val="single" w:color="auto" w:sz="4" w:space="0"/>
            </w:tcBorders>
            <w:vAlign w:val="center"/>
          </w:tcPr>
          <w:p>
            <w:pPr>
              <w:tabs>
                <w:tab w:val="left" w:pos="491"/>
                <w:tab w:val="right" w:pos="1974"/>
              </w:tabs>
              <w:jc w:val="center"/>
              <w:rPr>
                <w:rFonts w:ascii="Times New Roman" w:hAnsi="Times New Roman" w:eastAsia="仿宋_GB2312" w:cs="Times New Roman"/>
                <w:kern w:val="0"/>
                <w:szCs w:val="21"/>
              </w:rPr>
            </w:pPr>
            <w:r>
              <w:rPr>
                <w:rFonts w:hint="eastAsia"/>
              </w:rPr>
              <w:t>3.18</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r>
              <w:rPr>
                <w:rFonts w:hint="eastAsia" w:ascii="宋体" w:hAnsi="宋体" w:eastAsia="宋体" w:cs="宋体"/>
                <w:kern w:val="0"/>
                <w:sz w:val="24"/>
                <w:szCs w:val="24"/>
              </w:rPr>
              <w:t>　</w:t>
            </w: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行政运行</w:t>
            </w:r>
          </w:p>
        </w:tc>
        <w:tc>
          <w:tcPr>
            <w:tcW w:w="3000" w:type="dxa"/>
            <w:tcBorders>
              <w:top w:val="nil"/>
              <w:left w:val="nil"/>
              <w:bottom w:val="single" w:color="auto" w:sz="4" w:space="0"/>
              <w:right w:val="single" w:color="auto" w:sz="4" w:space="0"/>
            </w:tcBorders>
            <w:vAlign w:val="center"/>
          </w:tcPr>
          <w:p>
            <w:pPr>
              <w:tabs>
                <w:tab w:val="left" w:pos="397"/>
                <w:tab w:val="right" w:pos="1409"/>
              </w:tabs>
              <w:jc w:val="center"/>
              <w:rPr>
                <w:rFonts w:ascii="Times New Roman" w:hAnsi="Times New Roman" w:eastAsia="仿宋_GB2312" w:cs="Times New Roman"/>
                <w:kern w:val="0"/>
                <w:szCs w:val="21"/>
              </w:rPr>
            </w:pPr>
            <w:r>
              <w:rPr>
                <w:rFonts w:hint="eastAsia"/>
              </w:rPr>
              <w:t>595.12</w:t>
            </w:r>
          </w:p>
        </w:tc>
        <w:tc>
          <w:tcPr>
            <w:tcW w:w="3492" w:type="dxa"/>
            <w:tcBorders>
              <w:top w:val="nil"/>
              <w:left w:val="nil"/>
              <w:bottom w:val="single" w:color="auto" w:sz="4" w:space="0"/>
              <w:right w:val="single" w:color="auto" w:sz="4" w:space="0"/>
            </w:tcBorders>
            <w:vAlign w:val="center"/>
          </w:tcPr>
          <w:p>
            <w:pPr>
              <w:tabs>
                <w:tab w:val="left" w:pos="544"/>
                <w:tab w:val="right" w:pos="1455"/>
              </w:tabs>
              <w:jc w:val="center"/>
              <w:rPr>
                <w:rFonts w:ascii="Times New Roman" w:hAnsi="Times New Roman" w:eastAsia="仿宋_GB2312" w:cs="Times New Roman"/>
                <w:kern w:val="0"/>
                <w:szCs w:val="21"/>
              </w:rPr>
            </w:pPr>
            <w:r>
              <w:rPr>
                <w:rFonts w:hint="eastAsia"/>
              </w:rPr>
              <w:t>595.12</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r>
              <w:rPr>
                <w:rFonts w:hint="eastAsia" w:ascii="宋体" w:hAnsi="宋体" w:eastAsia="宋体" w:cs="宋体"/>
                <w:kern w:val="0"/>
                <w:sz w:val="24"/>
                <w:szCs w:val="24"/>
              </w:rPr>
              <w:t>　</w:t>
            </w: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其他政府办公厅（室）及相关机构事务支出</w:t>
            </w:r>
          </w:p>
        </w:tc>
        <w:tc>
          <w:tcPr>
            <w:tcW w:w="3000" w:type="dxa"/>
            <w:tcBorders>
              <w:top w:val="nil"/>
              <w:left w:val="nil"/>
              <w:bottom w:val="single" w:color="auto" w:sz="4" w:space="0"/>
              <w:right w:val="single" w:color="auto" w:sz="4" w:space="0"/>
            </w:tcBorders>
            <w:vAlign w:val="center"/>
          </w:tcPr>
          <w:p>
            <w:pPr>
              <w:tabs>
                <w:tab w:val="left" w:pos="502"/>
                <w:tab w:val="right" w:pos="1857"/>
              </w:tabs>
              <w:jc w:val="center"/>
              <w:rPr>
                <w:rFonts w:ascii="Times New Roman" w:hAnsi="Times New Roman" w:eastAsia="仿宋_GB2312" w:cs="Times New Roman"/>
                <w:kern w:val="0"/>
                <w:szCs w:val="21"/>
              </w:rPr>
            </w:pPr>
            <w:r>
              <w:rPr>
                <w:rFonts w:hint="eastAsia"/>
              </w:rPr>
              <w:t>170.73</w:t>
            </w:r>
          </w:p>
        </w:tc>
        <w:tc>
          <w:tcPr>
            <w:tcW w:w="3492" w:type="dxa"/>
            <w:tcBorders>
              <w:top w:val="nil"/>
              <w:left w:val="nil"/>
              <w:bottom w:val="single" w:color="auto" w:sz="4" w:space="0"/>
              <w:right w:val="single" w:color="auto" w:sz="4" w:space="0"/>
            </w:tcBorders>
            <w:vAlign w:val="center"/>
          </w:tcPr>
          <w:p>
            <w:pPr>
              <w:tabs>
                <w:tab w:val="center" w:pos="804"/>
                <w:tab w:val="right" w:pos="1939"/>
              </w:tabs>
              <w:jc w:val="center"/>
              <w:rPr>
                <w:rFonts w:ascii="Times New Roman" w:hAnsi="Times New Roman" w:eastAsia="仿宋_GB2312" w:cs="Times New Roman"/>
                <w:kern w:val="0"/>
                <w:szCs w:val="21"/>
              </w:rPr>
            </w:pPr>
            <w:r>
              <w:rPr>
                <w:rFonts w:hint="eastAsia"/>
              </w:rPr>
              <w:t>170.73</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r>
              <w:rPr>
                <w:rFonts w:hint="eastAsia" w:ascii="宋体" w:hAnsi="宋体" w:eastAsia="宋体" w:cs="宋体"/>
                <w:kern w:val="0"/>
                <w:sz w:val="24"/>
                <w:szCs w:val="24"/>
              </w:rPr>
              <w:t>　</w:t>
            </w: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行政运行</w:t>
            </w:r>
          </w:p>
        </w:tc>
        <w:tc>
          <w:tcPr>
            <w:tcW w:w="3000" w:type="dxa"/>
            <w:tcBorders>
              <w:top w:val="nil"/>
              <w:left w:val="nil"/>
              <w:bottom w:val="single" w:color="auto" w:sz="4" w:space="0"/>
              <w:right w:val="single" w:color="auto" w:sz="4" w:space="0"/>
            </w:tcBorders>
            <w:vAlign w:val="center"/>
          </w:tcPr>
          <w:p>
            <w:pPr>
              <w:tabs>
                <w:tab w:val="center" w:pos="805"/>
                <w:tab w:val="right" w:pos="1940"/>
              </w:tabs>
              <w:jc w:val="center"/>
              <w:rPr>
                <w:rFonts w:ascii="Times New Roman" w:hAnsi="Times New Roman" w:eastAsia="仿宋_GB2312" w:cs="Times New Roman"/>
                <w:kern w:val="0"/>
                <w:szCs w:val="21"/>
              </w:rPr>
            </w:pPr>
            <w:r>
              <w:rPr>
                <w:rFonts w:hint="eastAsia"/>
              </w:rPr>
              <w:t>27.42</w:t>
            </w:r>
          </w:p>
        </w:tc>
        <w:tc>
          <w:tcPr>
            <w:tcW w:w="3492" w:type="dxa"/>
            <w:tcBorders>
              <w:top w:val="nil"/>
              <w:left w:val="nil"/>
              <w:bottom w:val="single" w:color="auto" w:sz="4" w:space="0"/>
              <w:right w:val="single" w:color="auto" w:sz="4" w:space="0"/>
            </w:tcBorders>
            <w:vAlign w:val="center"/>
          </w:tcPr>
          <w:p>
            <w:pPr>
              <w:tabs>
                <w:tab w:val="left" w:pos="530"/>
                <w:tab w:val="right" w:pos="1939"/>
              </w:tabs>
              <w:jc w:val="center"/>
              <w:rPr>
                <w:rFonts w:ascii="Times New Roman" w:hAnsi="Times New Roman" w:eastAsia="仿宋_GB2312" w:cs="Times New Roman"/>
                <w:kern w:val="0"/>
                <w:szCs w:val="21"/>
              </w:rPr>
            </w:pPr>
            <w:r>
              <w:rPr>
                <w:rFonts w:hint="eastAsia"/>
              </w:rPr>
              <w:t>27.42</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r>
              <w:rPr>
                <w:rFonts w:hint="eastAsia" w:ascii="宋体" w:hAnsi="宋体" w:eastAsia="宋体" w:cs="宋体"/>
                <w:kern w:val="0"/>
                <w:sz w:val="24"/>
                <w:szCs w:val="24"/>
              </w:rPr>
              <w:t>　</w:t>
            </w: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其他纪检监察事务支出</w:t>
            </w:r>
          </w:p>
        </w:tc>
        <w:tc>
          <w:tcPr>
            <w:tcW w:w="3000" w:type="dxa"/>
            <w:tcBorders>
              <w:top w:val="nil"/>
              <w:left w:val="nil"/>
              <w:bottom w:val="single" w:color="auto" w:sz="4" w:space="0"/>
              <w:right w:val="single" w:color="auto" w:sz="4" w:space="0"/>
            </w:tcBorders>
            <w:vAlign w:val="center"/>
          </w:tcPr>
          <w:p>
            <w:pPr>
              <w:tabs>
                <w:tab w:val="center" w:pos="802"/>
                <w:tab w:val="right" w:pos="1935"/>
              </w:tabs>
              <w:jc w:val="center"/>
              <w:rPr>
                <w:rFonts w:ascii="Times New Roman" w:hAnsi="Times New Roman" w:eastAsia="仿宋_GB2312" w:cs="Times New Roman"/>
                <w:kern w:val="0"/>
                <w:szCs w:val="21"/>
              </w:rPr>
            </w:pPr>
            <w:r>
              <w:rPr>
                <w:rFonts w:hint="eastAsia"/>
              </w:rPr>
              <w:t>6.3</w:t>
            </w:r>
          </w:p>
        </w:tc>
        <w:tc>
          <w:tcPr>
            <w:tcW w:w="3492" w:type="dxa"/>
            <w:tcBorders>
              <w:top w:val="nil"/>
              <w:left w:val="nil"/>
              <w:bottom w:val="single" w:color="auto" w:sz="4" w:space="0"/>
              <w:right w:val="single" w:color="auto" w:sz="4" w:space="0"/>
            </w:tcBorders>
            <w:vAlign w:val="center"/>
          </w:tcPr>
          <w:p>
            <w:pPr>
              <w:tabs>
                <w:tab w:val="center" w:pos="804"/>
                <w:tab w:val="right" w:pos="1939"/>
              </w:tabs>
              <w:jc w:val="center"/>
              <w:rPr>
                <w:rFonts w:ascii="Times New Roman" w:hAnsi="Times New Roman" w:eastAsia="仿宋_GB2312" w:cs="Times New Roman"/>
                <w:kern w:val="0"/>
                <w:szCs w:val="21"/>
              </w:rPr>
            </w:pPr>
            <w:r>
              <w:rPr>
                <w:rFonts w:hint="eastAsia"/>
              </w:rPr>
              <w:t>6.3</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其他社会工作事务支出</w:t>
            </w:r>
          </w:p>
        </w:tc>
        <w:tc>
          <w:tcPr>
            <w:tcW w:w="3000" w:type="dxa"/>
            <w:tcBorders>
              <w:top w:val="nil"/>
              <w:left w:val="nil"/>
              <w:bottom w:val="single" w:color="auto" w:sz="4" w:space="0"/>
              <w:right w:val="single" w:color="auto" w:sz="4" w:space="0"/>
            </w:tcBorders>
            <w:vAlign w:val="center"/>
          </w:tcPr>
          <w:p>
            <w:pPr>
              <w:tabs>
                <w:tab w:val="center" w:pos="822"/>
                <w:tab w:val="right" w:pos="1974"/>
              </w:tabs>
              <w:jc w:val="center"/>
              <w:rPr>
                <w:rFonts w:ascii="Times New Roman" w:hAnsi="Times New Roman" w:eastAsia="仿宋_GB2312" w:cs="Times New Roman"/>
                <w:kern w:val="0"/>
                <w:szCs w:val="21"/>
              </w:rPr>
            </w:pPr>
            <w:r>
              <w:rPr>
                <w:rFonts w:hint="eastAsia"/>
              </w:rPr>
              <w:t>0.24</w:t>
            </w:r>
          </w:p>
        </w:tc>
        <w:tc>
          <w:tcPr>
            <w:tcW w:w="3492" w:type="dxa"/>
            <w:tcBorders>
              <w:top w:val="nil"/>
              <w:left w:val="nil"/>
              <w:bottom w:val="single" w:color="auto" w:sz="4" w:space="0"/>
              <w:right w:val="single" w:color="auto" w:sz="4" w:space="0"/>
            </w:tcBorders>
            <w:vAlign w:val="center"/>
          </w:tcPr>
          <w:p>
            <w:pPr>
              <w:tabs>
                <w:tab w:val="left" w:pos="392"/>
                <w:tab w:val="right" w:pos="1975"/>
              </w:tabs>
              <w:jc w:val="center"/>
              <w:rPr>
                <w:rFonts w:ascii="Times New Roman" w:hAnsi="Times New Roman" w:eastAsia="仿宋_GB2312" w:cs="Times New Roman"/>
                <w:kern w:val="0"/>
                <w:szCs w:val="21"/>
              </w:rPr>
            </w:pPr>
            <w:r>
              <w:rPr>
                <w:rFonts w:hint="eastAsia"/>
              </w:rPr>
              <w:t>0.24</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行政运行</w:t>
            </w:r>
          </w:p>
        </w:tc>
        <w:tc>
          <w:tcPr>
            <w:tcW w:w="3000" w:type="dxa"/>
            <w:tcBorders>
              <w:top w:val="nil"/>
              <w:left w:val="nil"/>
              <w:bottom w:val="single" w:color="auto" w:sz="4" w:space="0"/>
              <w:right w:val="single" w:color="auto" w:sz="4" w:space="0"/>
            </w:tcBorders>
            <w:vAlign w:val="center"/>
          </w:tcPr>
          <w:p>
            <w:pPr>
              <w:tabs>
                <w:tab w:val="left" w:pos="526"/>
              </w:tabs>
              <w:jc w:val="center"/>
              <w:rPr>
                <w:rFonts w:ascii="Times New Roman" w:hAnsi="Times New Roman" w:eastAsia="仿宋_GB2312" w:cs="Times New Roman"/>
                <w:kern w:val="0"/>
                <w:szCs w:val="21"/>
              </w:rPr>
            </w:pPr>
            <w:r>
              <w:rPr>
                <w:rFonts w:hint="eastAsia"/>
              </w:rPr>
              <w:t>7.74</w:t>
            </w:r>
          </w:p>
        </w:tc>
        <w:tc>
          <w:tcPr>
            <w:tcW w:w="3492" w:type="dxa"/>
            <w:tcBorders>
              <w:top w:val="nil"/>
              <w:left w:val="nil"/>
              <w:bottom w:val="single" w:color="auto" w:sz="4" w:space="0"/>
              <w:right w:val="single" w:color="auto" w:sz="4" w:space="0"/>
            </w:tcBorders>
            <w:vAlign w:val="center"/>
          </w:tcPr>
          <w:p>
            <w:pPr>
              <w:tabs>
                <w:tab w:val="left" w:pos="356"/>
              </w:tabs>
              <w:jc w:val="center"/>
              <w:rPr>
                <w:rFonts w:ascii="Times New Roman" w:hAnsi="Times New Roman" w:eastAsia="仿宋_GB2312" w:cs="Times New Roman"/>
                <w:kern w:val="0"/>
                <w:szCs w:val="21"/>
              </w:rPr>
            </w:pPr>
            <w:r>
              <w:rPr>
                <w:rFonts w:hint="eastAsia"/>
              </w:rPr>
              <w:t>7.74</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p>
            <w:pPr>
              <w:pStyle w:val="2"/>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社会保险业务管理事务</w:t>
            </w:r>
          </w:p>
        </w:tc>
        <w:tc>
          <w:tcPr>
            <w:tcW w:w="3000"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2.62</w:t>
            </w:r>
          </w:p>
        </w:tc>
        <w:tc>
          <w:tcPr>
            <w:tcW w:w="3492"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2.62</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机关事业单位基本养老保险缴费支出</w:t>
            </w:r>
          </w:p>
        </w:tc>
        <w:tc>
          <w:tcPr>
            <w:tcW w:w="3000"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67.12</w:t>
            </w:r>
          </w:p>
        </w:tc>
        <w:tc>
          <w:tcPr>
            <w:tcW w:w="3492" w:type="dxa"/>
            <w:tcBorders>
              <w:top w:val="nil"/>
              <w:left w:val="nil"/>
              <w:bottom w:val="single" w:color="auto" w:sz="4" w:space="0"/>
              <w:right w:val="single" w:color="auto" w:sz="4" w:space="0"/>
            </w:tcBorders>
            <w:vAlign w:val="center"/>
          </w:tcPr>
          <w:p>
            <w:pPr>
              <w:tabs>
                <w:tab w:val="left" w:pos="566"/>
              </w:tabs>
              <w:jc w:val="center"/>
              <w:rPr>
                <w:rFonts w:ascii="Times New Roman" w:hAnsi="Times New Roman" w:eastAsia="仿宋_GB2312" w:cs="Times New Roman"/>
                <w:kern w:val="0"/>
                <w:szCs w:val="21"/>
              </w:rPr>
            </w:pPr>
            <w:r>
              <w:rPr>
                <w:rFonts w:hint="eastAsia"/>
              </w:rPr>
              <w:t>67.12</w:t>
            </w:r>
            <w:r>
              <w:t>7</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死亡抚恤</w:t>
            </w:r>
          </w:p>
        </w:tc>
        <w:tc>
          <w:tcPr>
            <w:tcW w:w="3000"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8.49</w:t>
            </w:r>
          </w:p>
        </w:tc>
        <w:tc>
          <w:tcPr>
            <w:tcW w:w="3492" w:type="dxa"/>
            <w:tcBorders>
              <w:top w:val="nil"/>
              <w:left w:val="nil"/>
              <w:bottom w:val="single" w:color="auto" w:sz="4" w:space="0"/>
              <w:right w:val="single" w:color="auto" w:sz="4" w:space="0"/>
            </w:tcBorders>
            <w:vAlign w:val="center"/>
          </w:tcPr>
          <w:p>
            <w:pPr>
              <w:tabs>
                <w:tab w:val="left" w:pos="386"/>
              </w:tabs>
              <w:jc w:val="center"/>
              <w:rPr>
                <w:rFonts w:ascii="Times New Roman" w:hAnsi="Times New Roman" w:eastAsia="仿宋_GB2312" w:cs="Times New Roman"/>
                <w:kern w:val="0"/>
                <w:szCs w:val="21"/>
              </w:rPr>
            </w:pPr>
            <w:r>
              <w:rPr>
                <w:rFonts w:hint="eastAsia"/>
              </w:rPr>
              <w:t>8.49</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行政单位医疗</w:t>
            </w:r>
          </w:p>
        </w:tc>
        <w:tc>
          <w:tcPr>
            <w:tcW w:w="3000"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36.49</w:t>
            </w:r>
          </w:p>
        </w:tc>
        <w:tc>
          <w:tcPr>
            <w:tcW w:w="3492"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36.49</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其他医疗救助支出</w:t>
            </w:r>
          </w:p>
        </w:tc>
        <w:tc>
          <w:tcPr>
            <w:tcW w:w="3000"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2</w:t>
            </w:r>
          </w:p>
        </w:tc>
        <w:tc>
          <w:tcPr>
            <w:tcW w:w="3492"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2</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优抚对象医疗补助</w:t>
            </w:r>
          </w:p>
        </w:tc>
        <w:tc>
          <w:tcPr>
            <w:tcW w:w="3000" w:type="dxa"/>
            <w:tcBorders>
              <w:top w:val="nil"/>
              <w:left w:val="nil"/>
              <w:bottom w:val="single" w:color="auto" w:sz="4" w:space="0"/>
              <w:right w:val="single" w:color="auto" w:sz="4" w:space="0"/>
            </w:tcBorders>
            <w:vAlign w:val="center"/>
          </w:tcPr>
          <w:p>
            <w:pPr>
              <w:tabs>
                <w:tab w:val="center" w:pos="827"/>
                <w:tab w:val="right" w:pos="1985"/>
              </w:tabs>
              <w:jc w:val="center"/>
              <w:rPr>
                <w:rFonts w:ascii="Times New Roman" w:hAnsi="Times New Roman" w:eastAsia="仿宋_GB2312" w:cs="Times New Roman"/>
                <w:kern w:val="0"/>
                <w:szCs w:val="21"/>
              </w:rPr>
            </w:pPr>
            <w:r>
              <w:rPr>
                <w:rFonts w:hint="eastAsia"/>
              </w:rPr>
              <w:t>1.66</w:t>
            </w:r>
          </w:p>
        </w:tc>
        <w:tc>
          <w:tcPr>
            <w:tcW w:w="3492" w:type="dxa"/>
            <w:tcBorders>
              <w:top w:val="nil"/>
              <w:left w:val="nil"/>
              <w:bottom w:val="single" w:color="auto" w:sz="4" w:space="0"/>
              <w:right w:val="single" w:color="auto" w:sz="4" w:space="0"/>
            </w:tcBorders>
            <w:vAlign w:val="center"/>
          </w:tcPr>
          <w:p>
            <w:pPr>
              <w:tabs>
                <w:tab w:val="center" w:pos="822"/>
                <w:tab w:val="right" w:pos="1974"/>
              </w:tabs>
              <w:jc w:val="center"/>
              <w:rPr>
                <w:rFonts w:ascii="Times New Roman" w:hAnsi="Times New Roman" w:eastAsia="仿宋_GB2312" w:cs="Times New Roman"/>
                <w:kern w:val="0"/>
                <w:szCs w:val="21"/>
              </w:rPr>
            </w:pPr>
            <w:r>
              <w:rPr>
                <w:rFonts w:hint="eastAsia"/>
              </w:rPr>
              <w:t>1.66</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rPr>
              <w:t>其他医疗保障管理事务支出</w:t>
            </w:r>
          </w:p>
        </w:tc>
        <w:tc>
          <w:tcPr>
            <w:tcW w:w="3000"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3.51</w:t>
            </w:r>
          </w:p>
        </w:tc>
        <w:tc>
          <w:tcPr>
            <w:tcW w:w="3492" w:type="dxa"/>
            <w:tcBorders>
              <w:top w:val="nil"/>
              <w:left w:val="nil"/>
              <w:bottom w:val="single" w:color="auto" w:sz="4" w:space="0"/>
              <w:right w:val="single" w:color="auto" w:sz="4" w:space="0"/>
            </w:tcBorders>
            <w:vAlign w:val="center"/>
          </w:tcPr>
          <w:p>
            <w:pPr>
              <w:jc w:val="center"/>
              <w:rPr>
                <w:rFonts w:ascii="Times New Roman" w:hAnsi="Times New Roman" w:eastAsia="仿宋_GB2312" w:cs="Times New Roman"/>
                <w:kern w:val="0"/>
                <w:szCs w:val="21"/>
              </w:rPr>
            </w:pPr>
            <w:r>
              <w:rPr>
                <w:rFonts w:hint="eastAsia"/>
              </w:rPr>
              <w:t>3.51</w:t>
            </w:r>
          </w:p>
        </w:tc>
        <w:tc>
          <w:tcPr>
            <w:tcW w:w="3000"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vAlign w:val="center"/>
          </w:tcPr>
          <w:p>
            <w:pPr>
              <w:widowControl/>
              <w:jc w:val="left"/>
              <w:rPr>
                <w:rFonts w:ascii="Times New Roman" w:hAnsi="Times New Roman" w:eastAsia="仿宋_GB2312" w:cs="Times New Roman"/>
                <w:kern w:val="0"/>
                <w:szCs w:val="21"/>
              </w:rPr>
            </w:pPr>
            <w:r>
              <w:rPr>
                <w:rFonts w:ascii="宋体" w:hAnsi="宋体" w:eastAsia="宋体" w:cs="宋体"/>
                <w:color w:val="000000"/>
                <w:kern w:val="0"/>
                <w:sz w:val="22"/>
              </w:rPr>
              <w:t>其他国有土地使用权出让收入安排的支出</w:t>
            </w:r>
          </w:p>
        </w:tc>
        <w:tc>
          <w:tcPr>
            <w:tcW w:w="3000"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9.8</w:t>
            </w:r>
          </w:p>
        </w:tc>
        <w:tc>
          <w:tcPr>
            <w:tcW w:w="3492"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rPr>
              <w:t>9.8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vAlign w:val="center"/>
          </w:tcPr>
          <w:p>
            <w:pPr>
              <w:widowControl/>
              <w:jc w:val="left"/>
              <w:rPr>
                <w:rFonts w:ascii="Times New Roman" w:hAnsi="Times New Roman" w:eastAsia="仿宋_GB2312" w:cs="Times New Roman"/>
                <w:kern w:val="0"/>
                <w:szCs w:val="21"/>
              </w:rPr>
            </w:pPr>
            <w:r>
              <w:rPr>
                <w:rFonts w:ascii="宋体" w:hAnsi="宋体" w:eastAsia="宋体" w:cs="宋体"/>
                <w:color w:val="000000"/>
                <w:kern w:val="0"/>
                <w:sz w:val="22"/>
              </w:rPr>
              <w:t>其他农业农村支出</w:t>
            </w:r>
          </w:p>
        </w:tc>
        <w:tc>
          <w:tcPr>
            <w:tcW w:w="3000"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117.28</w:t>
            </w:r>
          </w:p>
        </w:tc>
        <w:tc>
          <w:tcPr>
            <w:tcW w:w="3492"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117.28</w:t>
            </w:r>
          </w:p>
        </w:tc>
        <w:tc>
          <w:tcPr>
            <w:tcW w:w="3000" w:type="dxa"/>
            <w:tcBorders>
              <w:top w:val="nil"/>
              <w:left w:val="nil"/>
              <w:bottom w:val="single" w:color="auto" w:sz="8"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vAlign w:val="center"/>
          </w:tcPr>
          <w:p>
            <w:pPr>
              <w:widowControl/>
              <w:jc w:val="left"/>
              <w:rPr>
                <w:rFonts w:ascii="Times New Roman" w:hAnsi="Times New Roman" w:eastAsia="仿宋_GB2312" w:cs="Times New Roman"/>
                <w:kern w:val="0"/>
                <w:szCs w:val="21"/>
              </w:rPr>
            </w:pPr>
            <w:r>
              <w:rPr>
                <w:rFonts w:hint="eastAsia"/>
                <w:color w:val="262626"/>
                <w:sz w:val="22"/>
              </w:rPr>
              <w:t>其他林业和草原支出</w:t>
            </w:r>
          </w:p>
        </w:tc>
        <w:tc>
          <w:tcPr>
            <w:tcW w:w="3000"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40</w:t>
            </w:r>
          </w:p>
        </w:tc>
        <w:tc>
          <w:tcPr>
            <w:tcW w:w="3492"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40</w:t>
            </w:r>
          </w:p>
        </w:tc>
        <w:tc>
          <w:tcPr>
            <w:tcW w:w="3000" w:type="dxa"/>
            <w:tcBorders>
              <w:top w:val="nil"/>
              <w:left w:val="nil"/>
              <w:bottom w:val="single" w:color="auto" w:sz="8"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vAlign w:val="center"/>
          </w:tcPr>
          <w:p>
            <w:pPr>
              <w:widowControl/>
              <w:jc w:val="left"/>
              <w:rPr>
                <w:rFonts w:hint="eastAsia"/>
                <w:color w:val="262626"/>
                <w:sz w:val="22"/>
              </w:rPr>
            </w:pPr>
            <w:r>
              <w:rPr>
                <w:color w:val="262626"/>
                <w:sz w:val="22"/>
              </w:rPr>
              <w:t>对村民委员会和村党支部的补助</w:t>
            </w:r>
          </w:p>
        </w:tc>
        <w:tc>
          <w:tcPr>
            <w:tcW w:w="3000"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75.5</w:t>
            </w:r>
          </w:p>
        </w:tc>
        <w:tc>
          <w:tcPr>
            <w:tcW w:w="3492"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75.5</w:t>
            </w:r>
          </w:p>
        </w:tc>
        <w:tc>
          <w:tcPr>
            <w:tcW w:w="3000" w:type="dxa"/>
            <w:tcBorders>
              <w:top w:val="nil"/>
              <w:left w:val="nil"/>
              <w:bottom w:val="single" w:color="auto" w:sz="8"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vAlign w:val="center"/>
          </w:tcPr>
          <w:p>
            <w:pPr>
              <w:widowControl/>
              <w:jc w:val="left"/>
              <w:rPr>
                <w:rFonts w:hint="eastAsia"/>
                <w:color w:val="262626"/>
                <w:sz w:val="22"/>
              </w:rPr>
            </w:pPr>
            <w:r>
              <w:rPr>
                <w:rFonts w:hint="eastAsia"/>
                <w:color w:val="262626"/>
                <w:sz w:val="22"/>
              </w:rPr>
              <w:t>其他政府性基金债务收入安排的支出</w:t>
            </w:r>
          </w:p>
        </w:tc>
        <w:tc>
          <w:tcPr>
            <w:tcW w:w="3000"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70.1</w:t>
            </w:r>
          </w:p>
        </w:tc>
        <w:tc>
          <w:tcPr>
            <w:tcW w:w="3492"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vAlign w:val="center"/>
          </w:tcPr>
          <w:p>
            <w:pPr>
              <w:widowControl/>
              <w:jc w:val="left"/>
              <w:rPr>
                <w:rFonts w:ascii="Times New Roman" w:hAnsi="Times New Roman" w:eastAsia="仿宋_GB2312" w:cs="Times New Roman"/>
                <w:kern w:val="0"/>
                <w:szCs w:val="21"/>
              </w:rPr>
            </w:pPr>
            <w:r>
              <w:rPr>
                <w:rFonts w:hint="eastAsia"/>
              </w:rPr>
              <w:t>70.1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vAlign w:val="center"/>
          </w:tcPr>
          <w:p>
            <w:pPr>
              <w:widowControl/>
              <w:jc w:val="left"/>
              <w:rPr>
                <w:rFonts w:hint="eastAsia"/>
                <w:color w:val="262626"/>
                <w:sz w:val="22"/>
              </w:rPr>
            </w:pPr>
            <w:r>
              <w:rPr>
                <w:color w:val="262626"/>
                <w:sz w:val="22"/>
              </w:rPr>
              <w:t>用于体育事业的彩票公益金支出</w:t>
            </w:r>
          </w:p>
        </w:tc>
        <w:tc>
          <w:tcPr>
            <w:tcW w:w="3000"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rPr>
              <w:t>10</w:t>
            </w:r>
          </w:p>
        </w:tc>
        <w:tc>
          <w:tcPr>
            <w:tcW w:w="3492"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vAlign w:val="center"/>
          </w:tcPr>
          <w:p>
            <w:pPr>
              <w:widowControl/>
              <w:jc w:val="left"/>
              <w:rPr>
                <w:rFonts w:ascii="Times New Roman" w:hAnsi="Times New Roman" w:eastAsia="仿宋_GB2312" w:cs="Times New Roman"/>
                <w:kern w:val="0"/>
                <w:szCs w:val="21"/>
              </w:rPr>
            </w:pPr>
            <w:r>
              <w:rPr>
                <w:rFonts w:hint="eastAsia"/>
              </w:rPr>
              <w:t>10</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0" w:type="auto"/>
        <w:tblInd w:w="0" w:type="dxa"/>
        <w:tblLayout w:type="autofit"/>
        <w:tblCellMar>
          <w:top w:w="0" w:type="dxa"/>
          <w:left w:w="108" w:type="dxa"/>
          <w:bottom w:w="0" w:type="dxa"/>
          <w:right w:w="108" w:type="dxa"/>
        </w:tblCellMar>
      </w:tblPr>
      <w:tblGrid>
        <w:gridCol w:w="971"/>
        <w:gridCol w:w="239"/>
        <w:gridCol w:w="91"/>
        <w:gridCol w:w="1262"/>
        <w:gridCol w:w="1982"/>
        <w:gridCol w:w="88"/>
        <w:gridCol w:w="866"/>
        <w:gridCol w:w="1180"/>
        <w:gridCol w:w="298"/>
        <w:gridCol w:w="1931"/>
        <w:gridCol w:w="148"/>
        <w:gridCol w:w="701"/>
        <w:gridCol w:w="1181"/>
        <w:gridCol w:w="346"/>
        <w:gridCol w:w="2040"/>
        <w:gridCol w:w="1658"/>
        <w:gridCol w:w="384"/>
        <w:gridCol w:w="248"/>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noWrap/>
            <w:vAlign w:val="center"/>
          </w:tcPr>
          <w:p>
            <w:pPr>
              <w:widowControl/>
              <w:jc w:val="center"/>
              <w:rPr>
                <w:rFonts w:hint="eastAsia"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hint="eastAsia"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7"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3"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206" w:type="dxa"/>
            <w:gridSpan w:val="3"/>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803.370</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rPr>
              <w:t>347.63</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307</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30101</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317.27</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119.70</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30701</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30102</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140.19</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37</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30702</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30103</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225.51</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30106</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31001</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30107</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3</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31002</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30108</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74.44</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31003</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30109</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31005</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30110</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40.47</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31006</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30111</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31007</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30112</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18.75</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31008</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30113</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5.49</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31009</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30114</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38.3</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31010</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30199</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31011</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14.580</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10.25</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31012</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30301</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5</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31013</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30302</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r>
              <w:rPr>
                <w:rFonts w:hint="eastAsia" w:ascii="宋体" w:hAnsi="宋体" w:eastAsia="宋体" w:cs="宋体"/>
                <w:color w:val="000000"/>
                <w:kern w:val="0"/>
                <w:szCs w:val="20"/>
              </w:rPr>
              <w:t>4</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31019</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30303</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31021</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30304</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8.68</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31022</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30305</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647"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31099</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30306</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5</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30307</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39907</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30308</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15</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39908</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30309</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7.6</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39909</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8"/>
              <w:tblW w:w="3946" w:type="dxa"/>
              <w:tblInd w:w="0" w:type="dxa"/>
              <w:tblLayout w:type="autofit"/>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hint="eastAsia" w:ascii="宋体" w:hAnsi="宋体" w:eastAsia="宋体" w:cs="宋体"/>
                <w:color w:val="000000"/>
                <w:kern w:val="0"/>
                <w:szCs w:val="20"/>
              </w:rPr>
            </w:pPr>
          </w:p>
          <w:tbl>
            <w:tblPr>
              <w:tblStyle w:val="8"/>
              <w:tblW w:w="3946" w:type="dxa"/>
              <w:tblInd w:w="0" w:type="dxa"/>
              <w:tblLayout w:type="autofit"/>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hint="eastAsia" w:ascii="宋体" w:hAnsi="宋体" w:eastAsia="宋体" w:cs="宋体"/>
                <w:color w:val="000000"/>
                <w:kern w:val="0"/>
                <w:szCs w:val="20"/>
              </w:rPr>
            </w:pP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30310</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4.5</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39910</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30311</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20.18</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39999</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30399</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1.9</w:t>
            </w: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648"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336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648"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hAnsi="宋体" w:eastAsia="宋体" w:cs="宋体"/>
                <w:color w:val="000000"/>
                <w:kern w:val="0"/>
                <w:szCs w:val="20"/>
              </w:rPr>
            </w:pPr>
            <w:r>
              <w:rPr>
                <w:rFonts w:hint="eastAsia" w:ascii="宋体" w:hAnsi="宋体" w:eastAsia="宋体" w:cs="宋体"/>
                <w:color w:val="000000"/>
                <w:kern w:val="0"/>
                <w:sz w:val="22"/>
              </w:rPr>
              <w:t>63.350</w:t>
            </w:r>
          </w:p>
        </w:tc>
        <w:tc>
          <w:tcPr>
            <w:tcW w:w="1223"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704" w:type="dxa"/>
            <w:gridSpan w:val="5"/>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647" w:type="dxa"/>
            <w:gridSpan w:val="2"/>
            <w:tcBorders>
              <w:top w:val="nil"/>
              <w:left w:val="nil"/>
              <w:bottom w:val="single" w:color="auto" w:sz="4" w:space="0"/>
              <w:right w:val="single" w:color="auto" w:sz="4" w:space="0"/>
            </w:tcBorders>
            <w:noWrap/>
            <w:vAlign w:val="center"/>
          </w:tcPr>
          <w:p>
            <w:pPr>
              <w:jc w:val="right"/>
              <w:rPr>
                <w:rFonts w:hint="eastAsia" w:ascii="宋体" w:hAnsi="宋体" w:eastAsia="宋体" w:cs="宋体"/>
                <w:color w:val="000000"/>
                <w:kern w:val="0"/>
                <w:szCs w:val="20"/>
              </w:rPr>
            </w:pPr>
            <w:r>
              <w:rPr>
                <w:rFonts w:hint="eastAsia" w:ascii="宋体" w:hAnsi="宋体" w:eastAsia="宋体" w:cs="宋体"/>
                <w:color w:val="000000"/>
                <w:kern w:val="0"/>
                <w:szCs w:val="20"/>
              </w:rPr>
              <w:t>817.968</w:t>
            </w:r>
          </w:p>
        </w:tc>
        <w:tc>
          <w:tcPr>
            <w:tcW w:w="9615" w:type="dxa"/>
            <w:gridSpan w:val="9"/>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公用经费合计347.63</w:t>
            </w:r>
          </w:p>
        </w:tc>
        <w:tc>
          <w:tcPr>
            <w:tcW w:w="648" w:type="dxa"/>
            <w:gridSpan w:val="2"/>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18"/>
              </w:rPr>
            </w:pPr>
            <w:r>
              <w:rPr>
                <w:rFonts w:hint="eastAsia" w:ascii="宋体" w:hAnsi="宋体" w:eastAsia="宋体" w:cs="宋体"/>
                <w:color w:val="000000"/>
                <w:kern w:val="0"/>
                <w:szCs w:val="18"/>
              </w:rPr>
              <w:t>　</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noWrap/>
            <w:vAlign w:val="center"/>
          </w:tcPr>
          <w:p>
            <w:pPr>
              <w:widowControl/>
              <w:jc w:val="left"/>
              <w:rPr>
                <w:rFonts w:hint="eastAsia"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widowControl/>
              <w:jc w:val="center"/>
              <w:textAlignment w:val="center"/>
              <w:rPr>
                <w:rFonts w:hint="eastAsia" w:ascii="华文中宋" w:hAnsi="华文中宋" w:eastAsia="华文中宋" w:cs="华文中宋"/>
                <w:color w:val="000000"/>
                <w:kern w:val="0"/>
                <w:sz w:val="32"/>
                <w:szCs w:val="32"/>
              </w:rPr>
            </w:pPr>
          </w:p>
          <w:p>
            <w:pPr>
              <w:widowControl/>
              <w:jc w:val="center"/>
              <w:textAlignment w:val="center"/>
              <w:rPr>
                <w:rFonts w:hint="eastAsia"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tblPrEx>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20" w:type="dxa"/>
            <w:gridSpan w:val="2"/>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tblPrEx>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20" w:type="dxa"/>
            <w:gridSpan w:val="2"/>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5"/>
                <w:rFonts w:hint="default"/>
              </w:rPr>
              <w:t xml:space="preserve">   </w:t>
            </w:r>
            <w:r>
              <w:rPr>
                <w:rStyle w:val="16"/>
                <w:rFonts w:hint="default"/>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6357"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tblPrEx>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2</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3</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4</w:t>
            </w:r>
          </w:p>
        </w:tc>
        <w:tc>
          <w:tcPr>
            <w:tcW w:w="211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5</w:t>
            </w: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6</w:t>
            </w:r>
          </w:p>
        </w:tc>
      </w:tr>
      <w:tr>
        <w:tblPrEx>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6</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6</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6</w:t>
            </w: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ascii="宋体" w:hAnsi="宋体" w:eastAsia="宋体" w:cs="宋体"/>
                <w:color w:val="000000"/>
                <w:kern w:val="0"/>
                <w:sz w:val="22"/>
              </w:rPr>
              <w:t>其他国有土地使用权出让收入安排的支出</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9.8</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9.8</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9.8</w:t>
            </w: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ascii="宋体" w:hAnsi="宋体" w:eastAsia="宋体" w:cs="宋体"/>
                <w:color w:val="000000"/>
                <w:sz w:val="24"/>
                <w:szCs w:val="24"/>
              </w:rPr>
              <w:t>其他政府性基金债务收入安排的支出</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70.1</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70.1</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70.1</w:t>
            </w: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0"/>
                <w:szCs w:val="20"/>
              </w:rPr>
            </w:pPr>
            <w:r>
              <w:rPr>
                <w:rFonts w:ascii="宋体" w:hAnsi="宋体" w:eastAsia="宋体" w:cs="宋体"/>
                <w:color w:val="000000"/>
                <w:sz w:val="20"/>
                <w:szCs w:val="20"/>
              </w:rPr>
              <w:t>用于体育事业的彩票公益金支出</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vAlign w:val="center"/>
          </w:tcPr>
          <w:p>
            <w:pPr>
              <w:widowControl/>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pPr>
              <w:widowControl/>
              <w:jc w:val="left"/>
              <w:textAlignment w:val="center"/>
              <w:rPr>
                <w:rFonts w:hint="eastAsia" w:ascii="宋体" w:hAnsi="宋体" w:eastAsia="宋体" w:cs="宋体"/>
                <w:color w:val="000000"/>
                <w:kern w:val="0"/>
                <w:sz w:val="24"/>
                <w:szCs w:val="24"/>
              </w:rPr>
            </w:pPr>
          </w:p>
          <w:p>
            <w:pPr>
              <w:widowControl/>
              <w:jc w:val="left"/>
              <w:textAlignment w:val="center"/>
              <w:rPr>
                <w:rFonts w:hint="eastAsia" w:ascii="宋体" w:hAnsi="宋体" w:eastAsia="宋体" w:cs="宋体"/>
                <w:color w:val="000000"/>
                <w:kern w:val="0"/>
                <w:sz w:val="24"/>
                <w:szCs w:val="24"/>
              </w:rPr>
            </w:pPr>
            <w:r>
              <w:rPr>
                <w:rFonts w:hint="eastAsia" w:ascii="楷体" w:hAnsi="楷体" w:eastAsia="楷体" w:cs="楷体"/>
                <w:b/>
                <w:bCs/>
                <w:kern w:val="0"/>
                <w:sz w:val="24"/>
                <w:szCs w:val="24"/>
              </w:rPr>
              <w:t>说明：我单位没有政府性基金收入，也没有使用政府性基金安排的支出，故本表无数据。（当表格数据为空时，应有此说明）</w:t>
            </w:r>
          </w:p>
        </w:tc>
      </w:tr>
    </w:tbl>
    <w:p>
      <w:pPr>
        <w:widowControl/>
        <w:jc w:val="center"/>
        <w:rPr>
          <w:rFonts w:ascii="Times New Roman" w:hAnsi="Times New Roman" w:eastAsia="方正小标宋_GBK" w:cs="Times New Roman"/>
          <w:color w:val="000000"/>
          <w:kern w:val="0"/>
          <w:sz w:val="36"/>
          <w:szCs w:val="36"/>
        </w:rPr>
      </w:pPr>
    </w:p>
    <w:p>
      <w:pPr>
        <w:widowControl/>
        <w:jc w:val="center"/>
        <w:rPr>
          <w:rFonts w:ascii="Times New Roman" w:hAnsi="Times New Roman" w:eastAsia="方正小标宋_GBK" w:cs="Times New Roman"/>
          <w:color w:val="000000"/>
          <w:kern w:val="0"/>
          <w:sz w:val="36"/>
          <w:szCs w:val="36"/>
        </w:rPr>
      </w:pPr>
    </w:p>
    <w:tbl>
      <w:tblPr>
        <w:tblStyle w:val="8"/>
        <w:tblW w:w="15120" w:type="dxa"/>
        <w:tblInd w:w="93" w:type="dxa"/>
        <w:tblLayout w:type="autofit"/>
        <w:tblCellMar>
          <w:top w:w="0" w:type="dxa"/>
          <w:left w:w="108" w:type="dxa"/>
          <w:bottom w:w="0" w:type="dxa"/>
          <w:right w:w="108" w:type="dxa"/>
        </w:tblCellMar>
      </w:tblPr>
      <w:tblGrid>
        <w:gridCol w:w="1326"/>
        <w:gridCol w:w="701"/>
        <w:gridCol w:w="2292"/>
        <w:gridCol w:w="3315"/>
        <w:gridCol w:w="3315"/>
        <w:gridCol w:w="4171"/>
      </w:tblGrid>
      <w:tr>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widowControl/>
              <w:jc w:val="center"/>
              <w:textAlignment w:val="center"/>
              <w:rPr>
                <w:rFonts w:hint="eastAsia"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tblPrEx>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Fonts w:hint="eastAsia" w:ascii="宋体" w:hAnsi="宋体" w:eastAsia="宋体" w:cs="宋体"/>
                <w:color w:val="000000"/>
                <w:kern w:val="0"/>
                <w:sz w:val="22"/>
              </w:rPr>
              <w:t xml:space="preserve">   </w:t>
            </w:r>
            <w:r>
              <w:rPr>
                <w:rStyle w:val="17"/>
                <w:rFonts w:hint="default"/>
              </w:rPr>
              <w:t>目</w:t>
            </w:r>
          </w:p>
        </w:tc>
        <w:tc>
          <w:tcPr>
            <w:tcW w:w="10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3</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vAlign w:val="center"/>
          </w:tcPr>
          <w:p>
            <w:pPr>
              <w:widowControl/>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pPr>
              <w:widowControl/>
              <w:jc w:val="left"/>
              <w:textAlignment w:val="center"/>
              <w:rPr>
                <w:rFonts w:hint="eastAsia" w:ascii="宋体" w:hAnsi="宋体" w:eastAsia="宋体" w:cs="宋体"/>
                <w:color w:val="000000"/>
                <w:kern w:val="0"/>
                <w:sz w:val="24"/>
                <w:szCs w:val="24"/>
              </w:rPr>
            </w:pPr>
          </w:p>
          <w:p>
            <w:pPr>
              <w:widowControl/>
              <w:jc w:val="left"/>
              <w:textAlignment w:val="center"/>
              <w:rPr>
                <w:rFonts w:hint="eastAsia" w:ascii="宋体" w:hAnsi="宋体" w:eastAsia="宋体" w:cs="宋体"/>
                <w:color w:val="000000"/>
                <w:kern w:val="0"/>
                <w:sz w:val="24"/>
                <w:szCs w:val="24"/>
              </w:rPr>
            </w:pPr>
            <w:r>
              <w:rPr>
                <w:rFonts w:hint="eastAsia" w:ascii="楷体" w:hAnsi="楷体" w:eastAsia="楷体" w:cs="楷体"/>
                <w:b/>
                <w:bCs/>
                <w:kern w:val="0"/>
                <w:sz w:val="24"/>
                <w:szCs w:val="24"/>
              </w:rPr>
              <w:t>说明：我单位没有使用国有资本经营预算安排的支出，故本表无数据。（当表格数据为空时，应有此说明）</w:t>
            </w:r>
          </w:p>
        </w:tc>
      </w:tr>
    </w:tbl>
    <w:p>
      <w:pPr>
        <w:widowControl/>
        <w:jc w:val="center"/>
        <w:rPr>
          <w:rFonts w:ascii="Times New Roman" w:hAnsi="Times New Roman" w:eastAsia="方正小标宋_GBK" w:cs="Times New Roman"/>
          <w:color w:val="000000"/>
          <w:kern w:val="0"/>
          <w:sz w:val="36"/>
          <w:szCs w:val="36"/>
        </w:rPr>
      </w:pPr>
    </w:p>
    <w:tbl>
      <w:tblPr>
        <w:tblStyle w:val="8"/>
        <w:tblW w:w="15140" w:type="dxa"/>
        <w:tblInd w:w="93" w:type="dxa"/>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widowControl/>
              <w:jc w:val="center"/>
              <w:textAlignment w:val="center"/>
              <w:rPr>
                <w:rFonts w:hint="eastAsia" w:ascii="华文中宋" w:hAnsi="华文中宋" w:eastAsia="华文中宋" w:cs="华文中宋"/>
                <w:color w:val="000000"/>
                <w:kern w:val="0"/>
                <w:sz w:val="32"/>
                <w:szCs w:val="32"/>
              </w:rPr>
            </w:pPr>
          </w:p>
          <w:p>
            <w:pPr>
              <w:widowControl/>
              <w:jc w:val="center"/>
              <w:textAlignment w:val="center"/>
              <w:rPr>
                <w:rFonts w:hint="eastAsia"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财政拨款“三公”经费支出决算表</w:t>
            </w:r>
          </w:p>
        </w:tc>
      </w:tr>
      <w:tr>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决算数</w:t>
            </w:r>
          </w:p>
        </w:tc>
      </w:tr>
      <w:tr>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公务接待费</w:t>
            </w:r>
          </w:p>
        </w:tc>
      </w:tr>
      <w:tr>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r>
      <w:tr>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rPr>
              <w:t>12</w:t>
            </w:r>
          </w:p>
        </w:tc>
      </w:tr>
      <w:tr>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r>
              <w:rPr>
                <w:rFonts w:hint="eastAsia" w:ascii="宋体" w:hAnsi="宋体" w:eastAsia="宋体" w:cs="宋体"/>
                <w:color w:val="000000"/>
                <w:sz w:val="22"/>
              </w:rPr>
              <w:t>4.5</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r>
              <w:rPr>
                <w:rFonts w:hint="eastAsia" w:ascii="宋体" w:hAnsi="宋体" w:eastAsia="宋体" w:cs="宋体"/>
                <w:color w:val="000000"/>
                <w:sz w:val="22"/>
              </w:rPr>
              <w:t>4.5</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r>
              <w:rPr>
                <w:rFonts w:hint="eastAsia" w:ascii="宋体" w:hAnsi="宋体" w:eastAsia="宋体" w:cs="宋体"/>
                <w:color w:val="000000"/>
                <w:sz w:val="22"/>
              </w:rPr>
              <w:t>4.5</w:t>
            </w: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r>
              <w:rPr>
                <w:rFonts w:hint="eastAsia" w:ascii="宋体" w:hAnsi="宋体" w:eastAsia="宋体" w:cs="宋体"/>
                <w:color w:val="000000"/>
                <w:sz w:val="22"/>
              </w:rPr>
              <w:t>4.5</w:t>
            </w:r>
          </w:p>
        </w:tc>
        <w:tc>
          <w:tcPr>
            <w:tcW w:w="127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2"/>
              </w:rPr>
            </w:pPr>
          </w:p>
        </w:tc>
      </w:tr>
      <w:tr>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vAlign w:val="center"/>
          </w:tcPr>
          <w:p>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2"/>
        <w:rPr>
          <w:sz w:val="72"/>
          <w:szCs w:val="72"/>
        </w:rPr>
      </w:pPr>
    </w:p>
    <w:p>
      <w:pPr>
        <w:pStyle w:val="12"/>
        <w:rPr>
          <w:sz w:val="72"/>
          <w:szCs w:val="72"/>
        </w:rPr>
      </w:pPr>
    </w:p>
    <w:p>
      <w:pPr>
        <w:pStyle w:val="12"/>
        <w:rPr>
          <w:sz w:val="72"/>
          <w:szCs w:val="72"/>
        </w:rPr>
      </w:pPr>
    </w:p>
    <w:p>
      <w:pPr>
        <w:pStyle w:val="12"/>
        <w:rPr>
          <w:sz w:val="72"/>
          <w:szCs w:val="72"/>
        </w:rPr>
      </w:pPr>
    </w:p>
    <w:p>
      <w:pPr>
        <w:pStyle w:val="12"/>
        <w:jc w:val="center"/>
        <w:rPr>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2"/>
        <w:jc w:val="center"/>
        <w:rPr>
          <w:rFonts w:hint="eastAsia" w:ascii="方正小标宋_GBK" w:hAnsi="方正小标宋_GBK" w:eastAsia="方正小标宋_GBK" w:cs="方正小标宋_GBK"/>
          <w:sz w:val="70"/>
          <w:szCs w:val="70"/>
        </w:rPr>
      </w:pPr>
    </w:p>
    <w:p>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2025年度部门决算情况说明</w:t>
      </w:r>
    </w:p>
    <w:p>
      <w:pPr>
        <w:widowControl/>
        <w:jc w:val="left"/>
        <w:rPr>
          <w:rFonts w:hint="eastAsia" w:ascii="宋体" w:hAnsi="宋体"/>
          <w:sz w:val="32"/>
          <w:szCs w:val="32"/>
        </w:rPr>
      </w:pPr>
      <w:r>
        <w:rPr>
          <w:rFonts w:hint="eastAsia" w:ascii="方正小标宋_GBK" w:hAnsi="方正小标宋_GBK" w:eastAsia="方正小标宋_GBK" w:cs="方正小标宋_GBK"/>
          <w:sz w:val="70"/>
          <w:szCs w:val="70"/>
        </w:rPr>
        <w:br w:type="page"/>
      </w:r>
    </w:p>
    <w:p>
      <w:pPr>
        <w:pStyle w:val="12"/>
        <w:spacing w:line="600" w:lineRule="exact"/>
        <w:ind w:firstLine="640" w:firstLineChars="200"/>
        <w:rPr>
          <w:rFonts w:hint="eastAsia" w:hAnsi="黑体"/>
          <w:bCs/>
          <w:sz w:val="32"/>
          <w:szCs w:val="32"/>
        </w:rPr>
      </w:pPr>
      <w:r>
        <w:rPr>
          <w:rFonts w:hint="eastAsia" w:hAnsi="黑体"/>
          <w:bCs/>
          <w:sz w:val="32"/>
          <w:szCs w:val="32"/>
        </w:rPr>
        <w:t>一、收入支出决算总体情况说明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2025年度收、支总计1255.48万元元。与上年相比，减少304.02万元，减少19.5%，主要是因为压减开支。</w:t>
      </w:r>
    </w:p>
    <w:p>
      <w:pPr>
        <w:pStyle w:val="12"/>
        <w:spacing w:line="600" w:lineRule="exact"/>
        <w:ind w:firstLine="640" w:firstLineChars="200"/>
        <w:rPr>
          <w:rFonts w:hint="eastAsia" w:hAnsi="黑体"/>
          <w:bCs/>
          <w:sz w:val="32"/>
          <w:szCs w:val="32"/>
        </w:rPr>
      </w:pPr>
      <w:r>
        <w:rPr>
          <w:rFonts w:hint="eastAsia" w:hAnsi="黑体"/>
          <w:bCs/>
          <w:sz w:val="32"/>
          <w:szCs w:val="32"/>
        </w:rPr>
        <w:t>二、收入决算情况说明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2025年度收入合计1255.48万元，其中：财政拨款收入1255.48万元，占100%；上级补助收入0万元，占0%；事业收入0万元，占0%；经营收入0万元，占0%；附属单位上缴收入0万元，占0%；其他收入0万元，占0%。</w:t>
      </w:r>
    </w:p>
    <w:p>
      <w:pPr>
        <w:pStyle w:val="12"/>
        <w:spacing w:line="600" w:lineRule="exact"/>
        <w:ind w:firstLine="640" w:firstLineChars="200"/>
        <w:rPr>
          <w:rFonts w:hint="eastAsia" w:hAnsi="黑体"/>
          <w:bCs/>
          <w:sz w:val="32"/>
          <w:szCs w:val="32"/>
        </w:rPr>
      </w:pPr>
      <w:r>
        <w:rPr>
          <w:rFonts w:hint="eastAsia" w:hAnsi="黑体"/>
          <w:bCs/>
          <w:sz w:val="32"/>
          <w:szCs w:val="32"/>
        </w:rPr>
        <w:t>三、支出决算情况说明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2025年度支出合计1255.48万元，其中：基本支出1165.58万元，占</w:t>
      </w:r>
      <w:r>
        <w:rPr>
          <w:rFonts w:ascii="Times New Roman" w:hAnsi="Times New Roman" w:eastAsia="仿宋_GB2312"/>
          <w:sz w:val="32"/>
          <w:szCs w:val="32"/>
        </w:rPr>
        <w:t>9</w:t>
      </w:r>
      <w:r>
        <w:rPr>
          <w:rFonts w:hint="eastAsia" w:ascii="Times New Roman" w:hAnsi="Times New Roman" w:eastAsia="仿宋_GB2312"/>
          <w:sz w:val="32"/>
          <w:szCs w:val="32"/>
        </w:rPr>
        <w:t>2.84%；项目支出</w:t>
      </w:r>
      <w:r>
        <w:rPr>
          <w:rFonts w:ascii="Times New Roman" w:hAnsi="Times New Roman" w:eastAsia="仿宋_GB2312"/>
          <w:sz w:val="32"/>
          <w:szCs w:val="32"/>
        </w:rPr>
        <w:t>89</w:t>
      </w:r>
      <w:r>
        <w:rPr>
          <w:rFonts w:hint="eastAsia" w:ascii="Times New Roman" w:hAnsi="Times New Roman" w:eastAsia="仿宋_GB2312"/>
          <w:sz w:val="32"/>
          <w:szCs w:val="32"/>
        </w:rPr>
        <w:t>.9万元，占7.16%</w:t>
      </w:r>
      <w:r>
        <w:rPr>
          <w:rFonts w:ascii="Times New Roman" w:hAnsi="Times New Roman" w:eastAsia="仿宋_GB2312"/>
          <w:sz w:val="32"/>
          <w:szCs w:val="32"/>
        </w:rPr>
        <w:t>.</w:t>
      </w:r>
    </w:p>
    <w:p>
      <w:pPr>
        <w:pStyle w:val="12"/>
        <w:spacing w:line="600" w:lineRule="exact"/>
        <w:ind w:firstLine="640" w:firstLineChars="200"/>
        <w:rPr>
          <w:rFonts w:hint="eastAsia" w:hAnsi="黑体"/>
          <w:bCs/>
          <w:sz w:val="32"/>
          <w:szCs w:val="32"/>
        </w:rPr>
      </w:pPr>
      <w:r>
        <w:rPr>
          <w:rFonts w:hint="eastAsia" w:hAnsi="黑体"/>
          <w:bCs/>
          <w:sz w:val="32"/>
          <w:szCs w:val="32"/>
        </w:rPr>
        <w:t>四、财政拨款收入支出决算总体情况说明</w:t>
      </w:r>
    </w:p>
    <w:p>
      <w:pPr>
        <w:pStyle w:val="12"/>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2025年度财政拨款收、支总计1255.48万元，与上年相比，减少304.02万元，减少19.5%，主要是因为压减开支。</w:t>
      </w:r>
    </w:p>
    <w:p>
      <w:pPr>
        <w:pStyle w:val="12"/>
        <w:spacing w:line="600" w:lineRule="exact"/>
        <w:ind w:firstLine="640"/>
        <w:rPr>
          <w:rFonts w:hint="eastAsia" w:hAnsi="黑体"/>
          <w:bCs/>
          <w:sz w:val="32"/>
          <w:szCs w:val="32"/>
        </w:rPr>
      </w:pPr>
      <w:r>
        <w:rPr>
          <w:rFonts w:hint="eastAsia" w:hAnsi="黑体"/>
          <w:bCs/>
          <w:sz w:val="32"/>
          <w:szCs w:val="32"/>
        </w:rPr>
        <w:t>五、一般公共预算财政拨款支出决算情况说明</w:t>
      </w:r>
    </w:p>
    <w:p>
      <w:pPr>
        <w:pStyle w:val="12"/>
        <w:spacing w:line="600" w:lineRule="exact"/>
        <w:ind w:firstLine="640" w:firstLineChars="200"/>
        <w:rPr>
          <w:rFonts w:hint="eastAsia"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2025年度财政拨款支出1255.48万元，占本年支出合计的100%，与上年相比，减少304.02万元，减少19.5%，主要是因为压减开支。</w:t>
      </w:r>
    </w:p>
    <w:p>
      <w:pPr>
        <w:pStyle w:val="12"/>
        <w:spacing w:line="600" w:lineRule="exact"/>
        <w:ind w:firstLine="800" w:firstLineChars="250"/>
        <w:rPr>
          <w:rFonts w:hint="eastAsia" w:ascii="楷体" w:hAnsi="楷体" w:eastAsia="楷体" w:cs="楷体"/>
          <w:bCs/>
          <w:sz w:val="32"/>
          <w:szCs w:val="32"/>
        </w:rPr>
      </w:pPr>
      <w:r>
        <w:rPr>
          <w:rFonts w:hint="eastAsia" w:ascii="楷体" w:hAnsi="楷体" w:eastAsia="楷体" w:cs="楷体"/>
          <w:bCs/>
          <w:sz w:val="32"/>
          <w:szCs w:val="32"/>
        </w:rPr>
        <w:t>（二）一般公共预算财政拨款支出决算结构情况</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财政拨款支出1255.48万元，主要用于以下方面：一般公共服务（类）支出802.98万元，占63.96%；教育支出7.74万元，占0.62%；社保支出78.42万元，占6.25%；卫生健康支出43.66万元，占3.48%；城乡社区支出9.8万元，占0.78%;农林水支出232.78万元，占18.54%；其他支出80.1万元，占6.38%。。</w:t>
      </w:r>
    </w:p>
    <w:p>
      <w:pPr>
        <w:pStyle w:val="12"/>
        <w:spacing w:line="600" w:lineRule="exact"/>
        <w:ind w:firstLine="800" w:firstLineChars="250"/>
        <w:rPr>
          <w:rFonts w:hint="eastAsia" w:ascii="楷体" w:hAnsi="楷体" w:eastAsia="楷体" w:cs="楷体"/>
          <w:bCs/>
          <w:sz w:val="32"/>
          <w:szCs w:val="32"/>
        </w:rPr>
      </w:pPr>
      <w:r>
        <w:rPr>
          <w:rFonts w:hint="eastAsia" w:ascii="楷体" w:hAnsi="楷体" w:eastAsia="楷体" w:cs="楷体"/>
          <w:bCs/>
          <w:sz w:val="32"/>
          <w:szCs w:val="32"/>
        </w:rPr>
        <w:t>（三）一般公共预算财政拨款支出决算具体情况</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2025年度财政拨款支出年初预算数为1255.48万元，支出决算数为1255.48万元，完成年初预算的100%，其中：</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1、一般公共服务（类）（款）（项）。</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年初预算为802.98万元，支出决算为802.98万元，完成年初预算的100%.</w:t>
      </w:r>
    </w:p>
    <w:p>
      <w:pPr>
        <w:pStyle w:val="12"/>
        <w:spacing w:line="600" w:lineRule="exact"/>
        <w:ind w:firstLine="640" w:firstLineChars="200"/>
        <w:rPr>
          <w:rFonts w:hint="eastAsia" w:hAnsi="黑体"/>
          <w:bCs/>
          <w:sz w:val="32"/>
          <w:szCs w:val="32"/>
        </w:rPr>
      </w:pPr>
      <w:r>
        <w:rPr>
          <w:rFonts w:hint="eastAsia" w:hAnsi="黑体"/>
          <w:bCs/>
          <w:sz w:val="32"/>
          <w:szCs w:val="32"/>
        </w:rPr>
        <w:t>六、一般公共预算财政拨款基本支出决算情况说明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2025年度财政拨款基本支出1255.48万元，其中：</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rPr>
        <w:t>817.76万元，占基本支出的65.14%,主要包括基本工资、津贴补贴、奖金、伙食补助……</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347.63万元，占基本支出的27.69%，主要包括办公费、印刷费、咨询费、手续费。</w:t>
      </w:r>
    </w:p>
    <w:p>
      <w:pPr>
        <w:pStyle w:val="12"/>
        <w:spacing w:line="600" w:lineRule="exact"/>
        <w:ind w:firstLine="640" w:firstLineChars="200"/>
        <w:rPr>
          <w:rFonts w:ascii="Times New Roman" w:hAnsi="Times New Roman" w:eastAsia="仿宋_GB2312"/>
          <w:b/>
          <w:sz w:val="32"/>
          <w:szCs w:val="32"/>
        </w:rPr>
      </w:pPr>
      <w:r>
        <w:rPr>
          <w:rFonts w:hint="eastAsia" w:hAnsi="黑体"/>
          <w:bCs/>
          <w:sz w:val="32"/>
          <w:szCs w:val="32"/>
        </w:rPr>
        <w:t>七、财政拨款三公经费支出决算情况说明</w:t>
      </w:r>
      <w:r>
        <w:rPr>
          <w:rFonts w:hint="eastAsia" w:ascii="楷体" w:hAnsi="楷体" w:eastAsia="楷体" w:cs="楷体"/>
          <w:b/>
          <w:bCs/>
          <w:i/>
          <w:color w:val="auto"/>
          <w:sz w:val="32"/>
          <w:szCs w:val="32"/>
        </w:rPr>
        <w:t>（注意：三公经费情况说明，往年为一般公共预算财政拨款口径，今年为财政拨款口径）</w:t>
      </w:r>
    </w:p>
    <w:p>
      <w:pPr>
        <w:pStyle w:val="12"/>
        <w:spacing w:line="600" w:lineRule="exact"/>
        <w:ind w:firstLine="640" w:firstLineChars="200"/>
        <w:rPr>
          <w:rFonts w:hint="eastAsia" w:ascii="楷体" w:hAnsi="楷体" w:eastAsia="楷体" w:cs="楷体"/>
          <w:b/>
          <w:sz w:val="32"/>
          <w:szCs w:val="32"/>
        </w:rPr>
      </w:pPr>
      <w:r>
        <w:rPr>
          <w:rFonts w:hint="eastAsia" w:ascii="楷体" w:hAnsi="楷体" w:eastAsia="楷体" w:cs="楷体"/>
          <w:b/>
          <w:sz w:val="32"/>
          <w:szCs w:val="32"/>
        </w:rPr>
        <w:t>（一）“三公”经费财政拨款支出决算总体情况说明</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“三公”经费财政拨款支出预算为4.5万元，支出决算为4.5万元，完成预算的100%。其中：</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因公出国（境）费支出预算为0万元，支出决算为0万元，完成预算的0%，0。</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公务接待费支出预算为0万元，支出决算为0万元，完成预算的100%，。</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公务用车购置费支出预算为0万元，支出决算为0万元，完成预算的0%</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公务用车运行维护费支出预算为4.5万元，支出决算为4.5万元，完成预算的100%。</w:t>
      </w:r>
    </w:p>
    <w:p>
      <w:pPr>
        <w:pStyle w:val="12"/>
        <w:spacing w:line="600" w:lineRule="exact"/>
        <w:ind w:firstLine="640" w:firstLineChars="200"/>
        <w:rPr>
          <w:rFonts w:hint="eastAsia" w:ascii="楷体" w:hAnsi="楷体" w:eastAsia="楷体" w:cs="楷体"/>
          <w:b/>
          <w:sz w:val="32"/>
          <w:szCs w:val="32"/>
        </w:rPr>
      </w:pPr>
      <w:r>
        <w:rPr>
          <w:rFonts w:hint="eastAsia" w:ascii="楷体" w:hAnsi="楷体" w:eastAsia="楷体" w:cs="楷体"/>
          <w:b/>
          <w:sz w:val="32"/>
          <w:szCs w:val="32"/>
        </w:rPr>
        <w:t>（二）“三公”经费财政拨款支出决算具体情况说明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2025年度“三公”经费财政拨款支出决算中，公务接待费支出决算0万元，占0%,因公出国（境）费支出决算0万元，占0%,公务用车购置费及运行维护费支出决算4.5万元，占100%。其中：</w:t>
      </w:r>
    </w:p>
    <w:p>
      <w:pPr>
        <w:pStyle w:val="12"/>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sz w:val="32"/>
          <w:szCs w:val="32"/>
        </w:rPr>
        <w:t>1、因公出国（境）费支出决算为0万元，全年安排因公出国（境）团组0个，累计0人次</w:t>
      </w:r>
      <w:r>
        <w:rPr>
          <w:rFonts w:hint="eastAsia" w:ascii="楷体" w:hAnsi="楷体" w:eastAsia="楷体" w:cs="楷体"/>
          <w:b/>
          <w:bCs/>
          <w:i/>
          <w:color w:val="auto"/>
          <w:sz w:val="32"/>
          <w:szCs w:val="32"/>
        </w:rPr>
        <w:t>,</w:t>
      </w:r>
      <w:r>
        <w:rPr>
          <w:rFonts w:hint="eastAsia" w:ascii="Times New Roman" w:hAnsi="Times New Roman" w:eastAsia="仿宋_GB2312"/>
          <w:sz w:val="32"/>
          <w:szCs w:val="32"/>
        </w:rPr>
        <w:t>开支内容包括：</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2、公务接待费支出决算为0万元，全年共接待来访团组0个、来宾0人次，主要是工作检查发生的接待支出。</w:t>
      </w:r>
    </w:p>
    <w:p>
      <w:pPr>
        <w:numPr>
          <w:ilvl w:val="0"/>
          <w:numId w:val="3"/>
        </w:numP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公务用车购置费及运行维护费支出决算为0万元，其中：公务用车购置费0万元</w:t>
      </w:r>
    </w:p>
    <w:p>
      <w:pPr>
        <w:numPr>
          <w:ilvl w:val="0"/>
          <w:numId w:val="3"/>
        </w:numPr>
        <w:spacing w:line="600" w:lineRule="exact"/>
        <w:ind w:firstLine="800" w:firstLineChars="250"/>
        <w:rPr>
          <w:rFonts w:hint="eastAsia" w:ascii="楷体" w:hAnsi="楷体" w:eastAsia="楷体" w:cs="楷体"/>
          <w:b/>
          <w:bCs/>
          <w:i/>
          <w:kern w:val="0"/>
          <w:sz w:val="32"/>
          <w:szCs w:val="32"/>
        </w:rPr>
      </w:pPr>
      <w:r>
        <w:rPr>
          <w:rFonts w:hint="eastAsia" w:ascii="Times New Roman" w:hAnsi="Times New Roman" w:eastAsia="仿宋_GB2312"/>
          <w:color w:val="000000"/>
          <w:sz w:val="32"/>
          <w:szCs w:val="32"/>
        </w:rPr>
        <w:t>。</w:t>
      </w:r>
      <w:r>
        <w:rPr>
          <w:rFonts w:hint="eastAsia" w:ascii="Times New Roman" w:hAnsi="Times New Roman" w:eastAsia="仿宋_GB2312"/>
          <w:sz w:val="32"/>
          <w:szCs w:val="32"/>
        </w:rPr>
        <w:t>公务用车运行维护费4.5万元，主要是公车保险油料和维修支出，截止2025年12月31日，我单位开支财政拨款的公务用车保有量为2辆。</w:t>
      </w:r>
    </w:p>
    <w:p>
      <w:pPr>
        <w:pStyle w:val="12"/>
        <w:spacing w:line="600" w:lineRule="exact"/>
        <w:ind w:firstLine="640" w:firstLineChars="200"/>
        <w:rPr>
          <w:rFonts w:hint="eastAsia" w:hAnsi="黑体"/>
          <w:bCs/>
          <w:sz w:val="32"/>
          <w:szCs w:val="32"/>
        </w:rPr>
      </w:pPr>
      <w:r>
        <w:rPr>
          <w:rFonts w:hint="eastAsia" w:hAnsi="黑体"/>
          <w:bCs/>
          <w:sz w:val="32"/>
          <w:szCs w:val="32"/>
        </w:rPr>
        <w:t>八、政府性基金预算收入支出决算情况</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 xml:space="preserve">     2025年度政府性基金预算财政拨款收入89.9万元；年初结转和结余0万元；支出89.9万元，其中基本支出0万元，项目支出89.9万元；年末结转和结余0万元。</w:t>
      </w:r>
    </w:p>
    <w:p>
      <w:pPr>
        <w:pStyle w:val="12"/>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本部门2025年度机关运行经费支出347.63万元，比年初预算数（或者上年决算数）增加（减少）0万元，增长（降低）0%。</w:t>
      </w:r>
    </w:p>
    <w:p>
      <w:pPr>
        <w:pStyle w:val="12"/>
        <w:spacing w:line="600" w:lineRule="exact"/>
        <w:ind w:firstLine="640" w:firstLineChars="200"/>
        <w:rPr>
          <w:rFonts w:hint="eastAsia" w:hAnsi="黑体"/>
          <w:bCs/>
          <w:sz w:val="32"/>
          <w:szCs w:val="32"/>
        </w:rPr>
      </w:pPr>
      <w:r>
        <w:rPr>
          <w:rFonts w:hint="eastAsia" w:hAnsi="黑体"/>
          <w:bCs/>
          <w:sz w:val="32"/>
          <w:szCs w:val="32"/>
        </w:rPr>
        <w:t>十、一般性支出情况说明</w:t>
      </w:r>
    </w:p>
    <w:p>
      <w:pPr>
        <w:pStyle w:val="12"/>
        <w:spacing w:line="600" w:lineRule="exact"/>
        <w:ind w:firstLine="640" w:firstLineChars="200"/>
        <w:rPr>
          <w:rFonts w:hint="eastAsia" w:ascii="楷体" w:hAnsi="楷体" w:eastAsia="楷体" w:cs="楷体"/>
          <w:b/>
          <w:bCs/>
          <w:i/>
          <w:color w:val="auto"/>
          <w:sz w:val="32"/>
          <w:szCs w:val="32"/>
        </w:rPr>
      </w:pPr>
      <w:r>
        <w:rPr>
          <w:rFonts w:hint="eastAsia" w:ascii="Times New Roman" w:hAnsi="Times New Roman" w:eastAsia="仿宋_GB2312"/>
          <w:sz w:val="32"/>
          <w:szCs w:val="32"/>
        </w:rPr>
        <w:t>2025年本部门开支会议费10.25万元，用于召开镇村干部会议，人数3562人，内容为工作安排；开支培训费5万元，用于开展村民培训，人数2469人，内容为农业生产。</w:t>
      </w:r>
    </w:p>
    <w:p>
      <w:pPr>
        <w:pStyle w:val="12"/>
        <w:spacing w:line="600" w:lineRule="exact"/>
        <w:ind w:firstLine="640" w:firstLineChars="200"/>
        <w:rPr>
          <w:rFonts w:hint="eastAsia" w:hAnsi="黑体"/>
          <w:bCs/>
          <w:sz w:val="32"/>
          <w:szCs w:val="32"/>
        </w:rPr>
      </w:pPr>
      <w:r>
        <w:rPr>
          <w:rFonts w:hint="eastAsia" w:hAnsi="黑体"/>
          <w:bCs/>
          <w:sz w:val="32"/>
          <w:szCs w:val="32"/>
        </w:rPr>
        <w:t>十一、关于政府采购支出说明</w:t>
      </w:r>
    </w:p>
    <w:p>
      <w:pPr>
        <w:pStyle w:val="12"/>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本部门2025年度政府采购支出总额63.35万元，其中：政府采购货物支出53.35万元、政府采购工程支出10万。</w:t>
      </w:r>
    </w:p>
    <w:p>
      <w:pPr>
        <w:pStyle w:val="12"/>
        <w:spacing w:line="580" w:lineRule="exact"/>
        <w:ind w:firstLine="640" w:firstLineChars="200"/>
        <w:rPr>
          <w:rFonts w:hint="eastAsia" w:hAnsi="黑体"/>
          <w:bCs/>
          <w:color w:val="auto"/>
          <w:sz w:val="32"/>
          <w:szCs w:val="32"/>
        </w:rPr>
      </w:pPr>
      <w:r>
        <w:rPr>
          <w:rFonts w:hint="eastAsia" w:hAnsi="黑体"/>
          <w:bCs/>
          <w:color w:val="auto"/>
          <w:sz w:val="32"/>
          <w:szCs w:val="32"/>
        </w:rPr>
        <w:t>十二、关于国有资产占用情况说明</w:t>
      </w:r>
    </w:p>
    <w:p>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2025年12月31日，部门（单位）共有车辆2辆，其中，副部（省）级及以上领导用车0辆、主要负责人用车0辆、机要通信用车0辆、应急保障用车1辆、执法执勤用车1辆，单位价值100万元以上设备（不含车辆）0台（套）。</w:t>
      </w:r>
    </w:p>
    <w:p>
      <w:pPr>
        <w:pStyle w:val="12"/>
        <w:spacing w:line="580" w:lineRule="exact"/>
        <w:ind w:firstLine="640" w:firstLineChars="200"/>
        <w:rPr>
          <w:rFonts w:hint="eastAsia"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rPr>
        <w:t>2025年</w:t>
      </w:r>
      <w:r>
        <w:rPr>
          <w:rFonts w:hint="eastAsia" w:hAnsi="黑体"/>
          <w:bCs/>
          <w:color w:val="auto"/>
          <w:sz w:val="32"/>
          <w:szCs w:val="32"/>
        </w:rPr>
        <w:t>度预算绩效情况的说明</w:t>
      </w:r>
    </w:p>
    <w:p>
      <w:pPr>
        <w:pStyle w:val="12"/>
        <w:spacing w:line="58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（一）绩效管理工作开展情况</w:t>
      </w:r>
    </w:p>
    <w:p>
      <w:pPr>
        <w:pStyle w:val="12"/>
        <w:spacing w:line="58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（二）部门（单位）整体支出绩效情况</w:t>
      </w:r>
    </w:p>
    <w:p>
      <w:pPr>
        <w:pStyle w:val="12"/>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总结归纳本部门（单位）支出的绩效目标完成情况，实现产出和取得效益的情况。围绕部门（单位）职责、行业发展规划，以预算资金管理为主线，总结部门（单位）资产管理和开展业务情况，从运行成本、管理效率、履职效能、社会效应、可持续发展能力和服务对象满意度等方面，衡量部门（单位）整体及核心业务实施效果。</w:t>
      </w:r>
    </w:p>
    <w:p>
      <w:pPr>
        <w:pStyle w:val="12"/>
        <w:spacing w:line="58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（三）存在的问题及原因分析</w:t>
      </w:r>
    </w:p>
    <w:p>
      <w:pPr>
        <w:pStyle w:val="12"/>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可以从预算和预算绩效管理，部门履职效能，资金分配、使用和管理，资产和财务管理、政府采购等方面归纳存在的问题；反映各种预算支出执行偏离绩效目标的情况，并分析其原因。</w:t>
      </w:r>
    </w:p>
    <w:p>
      <w:pPr>
        <w:pStyle w:val="12"/>
        <w:jc w:val="both"/>
        <w:rPr>
          <w:sz w:val="72"/>
          <w:szCs w:val="72"/>
        </w:rPr>
      </w:pPr>
    </w:p>
    <w:p>
      <w:pPr>
        <w:pStyle w:val="12"/>
        <w:jc w:val="center"/>
        <w:rPr>
          <w:sz w:val="72"/>
          <w:szCs w:val="72"/>
        </w:rPr>
      </w:pPr>
    </w:p>
    <w:p>
      <w:pPr>
        <w:pStyle w:val="12"/>
        <w:jc w:val="center"/>
        <w:rPr>
          <w:sz w:val="72"/>
          <w:szCs w:val="72"/>
        </w:rPr>
      </w:pPr>
    </w:p>
    <w:p>
      <w:pPr>
        <w:pStyle w:val="12"/>
        <w:jc w:val="both"/>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pStyle w:val="2"/>
        <w:rPr>
          <w:rFonts w:hint="eastAsia" w:ascii="方正小标宋_GBK" w:hAnsi="方正小标宋_GBK" w:eastAsia="方正小标宋_GBK" w:cs="方正小标宋_GBK"/>
          <w:color w:val="000000"/>
          <w:kern w:val="0"/>
          <w:sz w:val="70"/>
          <w:szCs w:val="70"/>
        </w:rPr>
      </w:pPr>
    </w:p>
    <w:p>
      <w:pPr>
        <w:pStyle w:val="3"/>
        <w:ind w:firstLine="1400"/>
        <w:rPr>
          <w:rFonts w:hint="eastAsia" w:ascii="方正小标宋_GBK" w:hAnsi="方正小标宋_GBK" w:eastAsia="方正小标宋_GBK" w:cs="方正小标宋_GBK"/>
          <w:color w:val="000000"/>
          <w:sz w:val="70"/>
          <w:szCs w:val="70"/>
        </w:rPr>
      </w:pPr>
    </w:p>
    <w:p>
      <w:pPr>
        <w:rPr>
          <w:rFonts w:hint="eastAsia" w:ascii="方正小标宋_GBK" w:hAnsi="方正小标宋_GBK" w:eastAsia="方正小标宋_GBK" w:cs="方正小标宋_GBK"/>
          <w:color w:val="000000"/>
          <w:kern w:val="0"/>
          <w:sz w:val="70"/>
          <w:szCs w:val="70"/>
        </w:rPr>
      </w:pPr>
    </w:p>
    <w:p>
      <w:pPr>
        <w:pStyle w:val="2"/>
        <w:rPr>
          <w:rFonts w:hint="eastAsia" w:ascii="方正小标宋_GBK" w:hAnsi="方正小标宋_GBK" w:eastAsia="方正小标宋_GBK" w:cs="方正小标宋_GBK"/>
          <w:color w:val="000000"/>
          <w:kern w:val="0"/>
          <w:sz w:val="70"/>
          <w:szCs w:val="70"/>
        </w:rPr>
      </w:pPr>
    </w:p>
    <w:p>
      <w:pPr>
        <w:pStyle w:val="3"/>
        <w:ind w:firstLine="1400"/>
        <w:rPr>
          <w:rFonts w:hint="eastAsia" w:ascii="方正小标宋_GBK" w:hAnsi="方正小标宋_GBK" w:eastAsia="方正小标宋_GBK" w:cs="方正小标宋_GBK"/>
          <w:color w:val="000000"/>
          <w:sz w:val="70"/>
          <w:szCs w:val="70"/>
        </w:rPr>
      </w:pPr>
    </w:p>
    <w:p>
      <w:pPr>
        <w:rPr>
          <w:rFonts w:hint="eastAsia" w:ascii="方正小标宋_GBK" w:hAnsi="方正小标宋_GBK" w:eastAsia="方正小标宋_GBK" w:cs="方正小标宋_GBK"/>
          <w:color w:val="000000"/>
          <w:kern w:val="0"/>
          <w:sz w:val="70"/>
          <w:szCs w:val="70"/>
        </w:rPr>
      </w:pPr>
    </w:p>
    <w:p>
      <w:pPr>
        <w:pStyle w:val="2"/>
      </w:pPr>
    </w:p>
    <w:p>
      <w:pPr>
        <w:widowControl/>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 1．财政拨款收入：指单位本年度从同级财政部门取得的各类财政拨款。</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2．上级补助收入：指事业单位从主管部门和上级单位取得的非财政补助收入。</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5．对附属单位补助支出：指事业单位用财政拨款收入之外的收入对附属单位补助发生的支出。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6．经营支出：指事业单位在专业业务活动及其辅助活动之外开展非独立核算经营活动发生的支出。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7．上缴上级支出：指事业单位按照财政部门和主管部门的规定上缴上级单位的支出。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8．项目支出：指在为完成特定的工作任务和事业发展目标所发生的支出。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9．基本支出：指为保障机构正常运转、完成日常工作任务而发生的支出，包括人员经费和公用经费。</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10．年末结转和结余资金：指本年度或以前年度预算安排、因客观条件发生变化无法按原计划实施，需要延迟到以后年度按有关规定继续使用的资金。</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11．结余分配：指事业单位按规定对非财政拨款结余资金提取的专用基金、缴纳的所得税和转入非财政拨款结余等。</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12．年初结转和结余：指单位上年结转本年使用的基本支出结转、项目支出结转和结余和经营结余。</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13．使用非财政拨款结余：指事业单位使用非财政拨款结余（原事业基金）弥补当年收支差额的数额。</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14．其他收入：指单位取得的除上述“财政拨款收入”、“事业收入”、“经营收入”等以外的各项收入。</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15．事业收入：指事业单位开展专业业务活动及其辅助活动取得的收入，事业单位收到的财政专户实际核拨的教育收费等资金在此反映。</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16．经营收入：指事业单位在专业业务活动及其辅助活动之外开展非独立核算经营活动取得的收入。</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17．附属单位上缴收入：指事业单位附属独立核算单位按照有关规定上缴的收入。</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18．一般公共服务支出（类）人大事务（款）其他人大事务支出（项）：反映除上述项目以外的其他人大事务支出。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19．一般公共服务支出（类）政府办公厅（室）及相关机构事务（款）行政运行（项）：反映行政单位（包括实行公务员管理的事业单位）的基本 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20．一般公共服务支出（类）政府办公厅（室）及相关机构事务（款）其他政府办公厅（室）及相关机构事务支出（项）：反映除上述项目以外的其他政府办公厅（室）及相关机构事 务支出。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21．一般公共服务支出（类）纪检监察事务（款）其他纪检监察事务支出（项）：反映除上述项目以外其他纪检监察事务方面的支出。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22．一般公共服务支出（类）群众团体事务（款）其他群众团体事务支出（项）：反映除上述项目以外其他用于群众团体事务方面的支出。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23．一般公共服务支出（类）其他一般公共服务支出（款）其他一般公共服务支出（项）：反映除上述项目以外的其他一般公共服务支出O</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24．社会保障和就业支出（类）行政事业单位养老支出（款）机关事业单位基本养老保险缴费支出（项）：反映机关事业单位实施养老保险制度由单位缴纳的基本养老保险费支出。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25．社会保障和就业支出（类）抚恤（款）死亡抚恤（项）：反映按规定用于烈士和牺牲、病故人员家属的一次性和定期 抚恤金、丧葬补助费以及烈士褒扬金。</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27．农林水支出（类）巩固脱贫衔接乡村振兴（款）其他巩固脱贫衔接乡村振兴支出（项）：反映除上述项目以外其他用于巩固拓展脱贫攻坚成果同乡村</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28．农林水支出（类）农村综合改革（款）对村级公益事业建设的补助（项）：反映农村综合改革方面的支出。</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29．农林水支出（类）农村综合改革（款）对村民委员会和村党支部的补助（项）：反映各级财政对村民委员会和村党支部的补助支出，以及支持建立县级基本财力保障机制安排的村级组织运转奖补资金。</w:t>
      </w:r>
    </w:p>
    <w:p>
      <w:pPr>
        <w:pStyle w:val="12"/>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30．灾害防治及应急管理支出（类）自然灾害防治（款）森林草原防灾减灾（项）：反映防治森林草原火灾、自然水呈灾害等发生的支出。</w:t>
      </w: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rPr>
          <w:sz w:val="72"/>
          <w:szCs w:val="72"/>
        </w:rPr>
      </w:pPr>
      <w:r>
        <w:rPr>
          <w:sz w:val="72"/>
          <w:szCs w:val="72"/>
        </w:rPr>
        <w:br w:type="page"/>
      </w: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pPr>
        <w:pStyle w:val="12"/>
        <w:jc w:val="center"/>
        <w:rPr>
          <w:rFonts w:hint="eastAsia" w:ascii="方正小标宋_GBK" w:hAnsi="方正小标宋_GBK" w:eastAsia="方正小标宋_GBK" w:cs="方正小标宋_GBK"/>
          <w:sz w:val="70"/>
          <w:szCs w:val="70"/>
        </w:rPr>
      </w:pPr>
    </w:p>
    <w:p>
      <w:pPr>
        <w:pStyle w:val="12"/>
        <w:jc w:val="center"/>
        <w:rPr>
          <w:sz w:val="72"/>
          <w:szCs w:val="72"/>
        </w:rPr>
      </w:pPr>
      <w:r>
        <w:rPr>
          <w:rFonts w:hint="eastAsia" w:ascii="方正小标宋_GBK" w:hAnsi="方正小标宋_GBK" w:eastAsia="方正小标宋_GBK" w:cs="方正小标宋_GBK"/>
          <w:sz w:val="70"/>
          <w:szCs w:val="70"/>
        </w:rPr>
        <w:t>附 件</w:t>
      </w:r>
    </w:p>
    <w:p>
      <w:pPr>
        <w:jc w:val="left"/>
        <w:rPr>
          <w:rFonts w:hint="eastAsia" w:ascii="宋体" w:hAnsi="宋体" w:cs="黑体"/>
          <w:color w:val="000000"/>
          <w:kern w:val="0"/>
          <w:sz w:val="32"/>
          <w:szCs w:val="32"/>
        </w:rPr>
      </w:pPr>
      <w:bookmarkStart w:id="3" w:name="_GoBack"/>
      <w:bookmarkEnd w:id="3"/>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001010101"/>
    <w:charset w:val="86"/>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abstractNum w:abstractNumId="1">
    <w:nsid w:val="00000001"/>
    <w:multiLevelType w:val="multilevel"/>
    <w:tmpl w:val="0000000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2"/>
    <w:multiLevelType w:val="singleLevel"/>
    <w:tmpl w:val="00000002"/>
    <w:lvl w:ilvl="0" w:tentative="0">
      <w:start w:val="3"/>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U5ZWU0YzczYzJkMDE3YjZmMDc5NDdmMGMyNzhjNDYifQ=="/>
  </w:docVars>
  <w:rsids>
    <w:rsidRoot w:val="00000000"/>
    <w:rsid w:val="37801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9">
    <w:name w:val="Default Paragraph Font"/>
    <w:uiPriority w:val="1"/>
  </w:style>
  <w:style w:type="table" w:default="1" w:styleId="8">
    <w:name w:val="Normal Table"/>
    <w:uiPriority w:val="99"/>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next w:val="1"/>
    <w:qFormat/>
    <w:uiPriority w:val="99"/>
    <w:pPr>
      <w:ind w:firstLine="420" w:firstLineChars="200"/>
    </w:pPr>
  </w:style>
  <w:style w:type="paragraph" w:styleId="4">
    <w:name w:val="Body Text Indent"/>
    <w:basedOn w:val="1"/>
    <w:next w:val="3"/>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qFormat/>
    <w:uiPriority w:val="99"/>
    <w:rPr>
      <w:sz w:val="18"/>
      <w:szCs w:val="18"/>
    </w:rPr>
  </w:style>
  <w:style w:type="paragraph" w:styleId="6">
    <w:name w:val="footer"/>
    <w:basedOn w:val="1"/>
    <w:link w:val="11"/>
    <w:qFormat/>
    <w:uiPriority w:val="99"/>
    <w:pPr>
      <w:tabs>
        <w:tab w:val="center" w:pos="4153"/>
        <w:tab w:val="right" w:pos="8306"/>
      </w:tabs>
      <w:snapToGrid w:val="0"/>
      <w:jc w:val="left"/>
    </w:pPr>
    <w:rPr>
      <w:sz w:val="18"/>
      <w:szCs w:val="18"/>
    </w:rPr>
  </w:style>
  <w:style w:type="paragraph" w:styleId="7">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字符"/>
    <w:basedOn w:val="9"/>
    <w:link w:val="7"/>
    <w:qFormat/>
    <w:uiPriority w:val="99"/>
    <w:rPr>
      <w:sz w:val="18"/>
      <w:szCs w:val="18"/>
    </w:rPr>
  </w:style>
  <w:style w:type="character" w:customStyle="1" w:styleId="11">
    <w:name w:val="页脚 字符"/>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字符"/>
    <w:basedOn w:val="9"/>
    <w:link w:val="5"/>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7852</Words>
  <Characters>9232</Characters>
  <Paragraphs>1852</Paragraphs>
  <TotalTime>79</TotalTime>
  <ScaleCrop>false</ScaleCrop>
  <LinksUpToDate>false</LinksUpToDate>
  <CharactersWithSpaces>10175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2026-09-02T17:27:00Z</dcterms:created>
  <dc:creator>李航 null</dc:creator>
  <cp:lastModifiedBy>水蜜桃</cp:lastModifiedBy>
  <cp:lastPrinted>2024-08-08T10:20:00Z</cp:lastPrinted>
  <dcterms:modified xsi:type="dcterms:W3CDTF">2026-09-14T03:16:16Z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ee14888acf4a40938b474bf01b33793b_23</vt:lpwstr>
  </property>
  <property fmtid="{D5CDD505-2E9C-101B-9397-08002B2CF9AE}" pid="4" name="KSOTemplateDocerSaveRecord">
    <vt:lpwstr>eyJoZGlkIjoiYWMyM2IxOGRjMmZjNjJmYjE3OTI0MGViNjQ4ZTAxM2YiLCJ1c2VySWQiOiIxMTQ0MTY1NjAxIn0=</vt:lpwstr>
  </property>
</Properties>
</file>