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textAlignment w:val="baseline"/>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5</w:t>
      </w:r>
      <w:r>
        <w:rPr>
          <w:rFonts w:hint="eastAsia" w:ascii="方正小标宋简体" w:hAnsi="方正小标宋简体" w:eastAsia="方正小标宋简体" w:cs="方正小标宋简体"/>
          <w:sz w:val="36"/>
          <w:szCs w:val="36"/>
        </w:rPr>
        <w:t>年度</w:t>
      </w:r>
      <w:r>
        <w:rPr>
          <w:rFonts w:hint="eastAsia" w:ascii="方正小标宋简体" w:hAnsi="方正小标宋简体" w:eastAsia="方正小标宋简体" w:cs="方正小标宋简体"/>
          <w:sz w:val="36"/>
          <w:szCs w:val="36"/>
          <w:lang w:eastAsia="zh-CN"/>
        </w:rPr>
        <w:t>永州工贸学校</w:t>
      </w:r>
      <w:r>
        <w:rPr>
          <w:rFonts w:hint="eastAsia" w:ascii="方正小标宋简体" w:hAnsi="方正小标宋简体" w:eastAsia="方正小标宋简体" w:cs="方正小标宋简体"/>
          <w:sz w:val="36"/>
          <w:szCs w:val="36"/>
        </w:rPr>
        <w:t>整体支出绩效评价报告</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一、基本情况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（一）部门（单位）基本情况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永州市工业贸易中等专业学校（以下简称“永州工贸学校”）现为一支队伍、两个校区、三块牌子。2017年，永州市委以永州工贸学校为载体，创建永州市农村党员和青年农民培训中心；2019年,经省人社厅批准，在永州工贸学校的基础上设立道州技工学校。校园占地面积54万平方米（810亩），校舍建筑面积16.13万平方米。建有果蔬花卉生产、畜禽生产、食用菌生产、深永发电子有限公司4个实训基地，蛙+稻生态种养、供港蔬菜、食用龟等校外教学实践基地53个，电子电工、数控加工、汽车维修、服装、计算机等实习实训室88个，教学仪器设备总值5801万元，教学用计算机拥有1230台，实习实训工位数4569个，能满足教育教学、学生实习实训和省、市技能大赛等工作需要。现有教职工总数457人，专任教师403人，专业课教师264人，双师型教师166人，从行业企业、高等院校和科研单位聘任兼职教师77人。高级职称教师103人，其中正高级职称教师1人。全日制在校学生7053人，年短期培训5000人次以上。</w:t>
      </w:r>
    </w:p>
    <w:p>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工作职能 </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培养大、中专学历人才，培养中、高级技术应用人才，中等专业技术教育、教学、科研、相关职业培训。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2、学校内设机构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学校内设办公室、教务科、科技科、学生科、保卫科、总务科、招生就业办公室、培训联络科、新闻宣传科和</w:t>
      </w:r>
      <w:r>
        <w:rPr>
          <w:rFonts w:hint="eastAsia" w:ascii="宋体" w:hAnsi="宋体" w:eastAsia="宋体" w:cs="宋体"/>
          <w:sz w:val="28"/>
          <w:szCs w:val="28"/>
          <w:lang w:eastAsia="zh-CN"/>
        </w:rPr>
        <w:t>人事</w:t>
      </w:r>
      <w:r>
        <w:rPr>
          <w:rFonts w:hint="eastAsia" w:ascii="宋体" w:hAnsi="宋体" w:eastAsia="宋体" w:cs="宋体"/>
          <w:sz w:val="28"/>
          <w:szCs w:val="28"/>
        </w:rPr>
        <w:t>人才科10个职能科室。</w:t>
      </w:r>
      <w:r>
        <w:rPr>
          <w:rFonts w:hint="eastAsia" w:ascii="宋体" w:hAnsi="宋体" w:eastAsia="宋体" w:cs="宋体"/>
          <w:strike w:val="0"/>
          <w:dstrike w:val="0"/>
          <w:color w:val="auto"/>
          <w:sz w:val="28"/>
          <w:szCs w:val="28"/>
          <w:lang w:eastAsia="zh-CN"/>
        </w:rPr>
        <w:t>分</w:t>
      </w:r>
      <w:r>
        <w:rPr>
          <w:rFonts w:hint="eastAsia" w:ascii="宋体" w:hAnsi="宋体" w:eastAsia="宋体" w:cs="宋体"/>
          <w:sz w:val="28"/>
          <w:szCs w:val="28"/>
        </w:rPr>
        <w:t>寿雁和城北两个校区</w:t>
      </w:r>
      <w:r>
        <w:rPr>
          <w:rFonts w:hint="eastAsia" w:ascii="宋体" w:hAnsi="宋体" w:eastAsia="宋体" w:cs="宋体"/>
          <w:sz w:val="28"/>
          <w:szCs w:val="28"/>
          <w:lang w:eastAsia="zh-CN"/>
        </w:rPr>
        <w:t>，</w:t>
      </w:r>
      <w:r>
        <w:rPr>
          <w:rFonts w:hint="eastAsia" w:ascii="宋体" w:hAnsi="宋体" w:eastAsia="宋体" w:cs="宋体"/>
          <w:strike w:val="0"/>
          <w:dstrike w:val="0"/>
          <w:color w:val="auto"/>
          <w:sz w:val="28"/>
          <w:szCs w:val="28"/>
        </w:rPr>
        <w:t>三个年级</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3、人员编制、领导职数及实有在职人数 </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道县机构编制委员会核定学校编制数为390名，校领导职数设校长1名，党委书记1名，副校长4名，纪委书记1名。202</w:t>
      </w:r>
      <w:r>
        <w:rPr>
          <w:rFonts w:hint="eastAsia" w:ascii="宋体" w:hAnsi="宋体" w:eastAsia="宋体" w:cs="宋体"/>
          <w:sz w:val="28"/>
          <w:szCs w:val="28"/>
          <w:lang w:val="en-US" w:eastAsia="zh-CN"/>
        </w:rPr>
        <w:t>5</w:t>
      </w:r>
      <w:r>
        <w:rPr>
          <w:rFonts w:hint="eastAsia" w:ascii="宋体" w:hAnsi="宋体" w:eastAsia="宋体" w:cs="宋体"/>
          <w:sz w:val="28"/>
          <w:szCs w:val="28"/>
        </w:rPr>
        <w:t>年度年末在职</w:t>
      </w:r>
      <w:r>
        <w:rPr>
          <w:rFonts w:hint="eastAsia" w:ascii="宋体" w:hAnsi="宋体" w:eastAsia="宋体" w:cs="宋体"/>
          <w:sz w:val="28"/>
          <w:szCs w:val="28"/>
          <w:lang w:eastAsia="zh-CN"/>
        </w:rPr>
        <w:t>在编职工</w:t>
      </w:r>
      <w:r>
        <w:rPr>
          <w:rFonts w:hint="eastAsia" w:ascii="宋体" w:hAnsi="宋体" w:eastAsia="宋体" w:cs="宋体"/>
          <w:sz w:val="28"/>
          <w:szCs w:val="28"/>
        </w:rPr>
        <w:t>3</w:t>
      </w:r>
      <w:r>
        <w:rPr>
          <w:rFonts w:hint="eastAsia" w:ascii="宋体" w:hAnsi="宋体" w:eastAsia="宋体" w:cs="宋体"/>
          <w:sz w:val="28"/>
          <w:szCs w:val="28"/>
          <w:lang w:val="en-US" w:eastAsia="zh-CN"/>
        </w:rPr>
        <w:t>70</w:t>
      </w:r>
      <w:r>
        <w:rPr>
          <w:rFonts w:hint="eastAsia" w:ascii="宋体" w:hAnsi="宋体" w:eastAsia="宋体" w:cs="宋体"/>
          <w:sz w:val="28"/>
          <w:szCs w:val="28"/>
        </w:rPr>
        <w:t>人</w:t>
      </w:r>
      <w:r>
        <w:rPr>
          <w:rFonts w:hint="eastAsia" w:ascii="宋体" w:hAnsi="宋体" w:eastAsia="宋体" w:cs="宋体"/>
          <w:sz w:val="28"/>
          <w:szCs w:val="28"/>
          <w:lang w:eastAsia="zh-CN"/>
        </w:rPr>
        <w:t>，</w:t>
      </w:r>
      <w:r>
        <w:rPr>
          <w:rFonts w:hint="eastAsia" w:ascii="宋体" w:hAnsi="宋体" w:eastAsia="宋体" w:cs="宋体"/>
          <w:sz w:val="28"/>
          <w:szCs w:val="28"/>
        </w:rPr>
        <w:t>退休职工</w:t>
      </w:r>
      <w:r>
        <w:rPr>
          <w:rFonts w:hint="eastAsia" w:ascii="宋体" w:hAnsi="宋体" w:eastAsia="宋体" w:cs="宋体"/>
          <w:sz w:val="28"/>
          <w:szCs w:val="28"/>
          <w:lang w:val="en-US" w:eastAsia="zh-CN"/>
        </w:rPr>
        <w:t>85</w:t>
      </w:r>
      <w:r>
        <w:rPr>
          <w:rFonts w:hint="eastAsia" w:ascii="宋体" w:hAnsi="宋体" w:eastAsia="宋体" w:cs="宋体"/>
          <w:sz w:val="28"/>
          <w:szCs w:val="28"/>
        </w:rPr>
        <w:t>人，合同制职工</w:t>
      </w:r>
      <w:r>
        <w:rPr>
          <w:rFonts w:hint="eastAsia" w:ascii="宋体" w:hAnsi="宋体" w:eastAsia="宋体" w:cs="宋体"/>
          <w:sz w:val="28"/>
          <w:szCs w:val="28"/>
          <w:lang w:val="en-US" w:eastAsia="zh-CN"/>
        </w:rPr>
        <w:t>87</w:t>
      </w:r>
      <w:r>
        <w:rPr>
          <w:rFonts w:hint="eastAsia" w:ascii="宋体" w:hAnsi="宋体" w:eastAsia="宋体" w:cs="宋体"/>
          <w:sz w:val="28"/>
          <w:szCs w:val="28"/>
        </w:rPr>
        <w:t>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（二）部门整体支出规模、使用方向和主要内容</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sz w:val="28"/>
          <w:szCs w:val="28"/>
          <w:lang w:val="en-US" w:eastAsia="zh-CN"/>
        </w:rPr>
        <w:t>2025年部门整体共支出9042.89万元。其中，教育支出8319.17万元，</w:t>
      </w:r>
      <w:r>
        <w:rPr>
          <w:rFonts w:hint="eastAsia" w:ascii="宋体" w:hAnsi="宋体" w:eastAsia="宋体" w:cs="宋体"/>
          <w:color w:val="auto"/>
          <w:sz w:val="28"/>
          <w:szCs w:val="28"/>
          <w:lang w:val="en-US" w:eastAsia="zh-CN"/>
        </w:rPr>
        <w:t>主要用于人员工资、社保、日常运转及改善学校办学条件等。社会保障和就业支出468.64万元，主要是用于职工基本养老保险缴费；卫生健康支出255.08万元，主要是用于职工基本医疗保险缴费。</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二、</w:t>
      </w:r>
      <w:r>
        <w:rPr>
          <w:rFonts w:hint="eastAsia" w:ascii="宋体" w:hAnsi="宋体" w:eastAsia="宋体" w:cs="宋体"/>
          <w:b/>
          <w:bCs/>
          <w:sz w:val="28"/>
          <w:szCs w:val="28"/>
        </w:rPr>
        <w:t>部门整体支出管理及使用情况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2025年部门整体收入9646.95万元。其中一般公共预算拨款收入9032.74万元，事业收入444.5万元，其他收入169.71万元。具体安排情况如下：</w:t>
      </w:r>
    </w:p>
    <w:p>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基本支出情况：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2025年基本支出8635.13万元。其中：工资福利支出支出5981.45万元，主要是包括教职工的工资、绩效、奖金及各项社会保险缴费；一般商品和服务支出1530.93万元，用于为保障我校正常运转、完成日常工作任务而发生的支出，包括办公经费、水电费、差旅费、会议费、教师培训费、工会经费等；对个人和家庭的补助支出911.77万元，主要是退休费、抚恤金、生活补助、助学金等；资本性支出210.98万元，主要是专用设备购置和信息网络及软件购置更新。</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项目支出1007.76万元。其中：改善中职学校办学条件的日常公用经费支出939.33万元，主要用于完善基础设施建设，专业实训设备购置，办公设备购置，信息网络及软件购置等方面；中职教育发展专项支出68.43万元，主要用于学校教育发展支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w:t>
      </w:r>
      <w:r>
        <w:rPr>
          <w:rFonts w:hint="eastAsia" w:ascii="宋体" w:hAnsi="宋体" w:eastAsia="宋体" w:cs="宋体"/>
          <w:sz w:val="28"/>
          <w:szCs w:val="28"/>
          <w:lang w:eastAsia="zh-CN"/>
        </w:rPr>
        <w:t>三</w:t>
      </w:r>
      <w:r>
        <w:rPr>
          <w:rFonts w:hint="eastAsia" w:ascii="宋体" w:hAnsi="宋体" w:eastAsia="宋体" w:cs="宋体"/>
          <w:sz w:val="28"/>
          <w:szCs w:val="28"/>
        </w:rPr>
        <w:t>）三公经费使用情况</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202</w:t>
      </w:r>
      <w:r>
        <w:rPr>
          <w:rFonts w:hint="eastAsia" w:ascii="宋体" w:hAnsi="宋体" w:eastAsia="宋体" w:cs="宋体"/>
          <w:sz w:val="28"/>
          <w:szCs w:val="28"/>
          <w:lang w:val="en-US" w:eastAsia="zh-CN"/>
        </w:rPr>
        <w:t>5</w:t>
      </w:r>
      <w:r>
        <w:rPr>
          <w:rFonts w:hint="eastAsia" w:ascii="宋体" w:hAnsi="宋体" w:eastAsia="宋体" w:cs="宋体"/>
          <w:sz w:val="28"/>
          <w:szCs w:val="28"/>
        </w:rPr>
        <w:t>年“三公”经费</w:t>
      </w:r>
      <w:r>
        <w:rPr>
          <w:rFonts w:hint="eastAsia" w:ascii="宋体" w:hAnsi="宋体" w:eastAsia="宋体" w:cs="宋体"/>
          <w:sz w:val="28"/>
          <w:szCs w:val="28"/>
          <w:lang w:eastAsia="zh-CN"/>
        </w:rPr>
        <w:t>支出</w:t>
      </w:r>
      <w:r>
        <w:rPr>
          <w:rFonts w:hint="eastAsia" w:ascii="宋体" w:hAnsi="宋体" w:eastAsia="宋体" w:cs="宋体"/>
          <w:sz w:val="28"/>
          <w:szCs w:val="28"/>
          <w:lang w:val="en-US" w:eastAsia="zh-CN"/>
        </w:rPr>
        <w:t>6</w:t>
      </w:r>
      <w:r>
        <w:rPr>
          <w:rFonts w:hint="eastAsia" w:ascii="宋体" w:hAnsi="宋体" w:eastAsia="宋体" w:cs="宋体"/>
          <w:sz w:val="28"/>
          <w:szCs w:val="28"/>
        </w:rPr>
        <w:t>万元，其中，公务接待费</w:t>
      </w:r>
      <w:r>
        <w:rPr>
          <w:rFonts w:hint="eastAsia" w:ascii="宋体" w:hAnsi="宋体" w:eastAsia="宋体" w:cs="宋体"/>
          <w:sz w:val="28"/>
          <w:szCs w:val="28"/>
          <w:lang w:val="en-US" w:eastAsia="zh-CN"/>
        </w:rPr>
        <w:t>0</w:t>
      </w:r>
      <w:r>
        <w:rPr>
          <w:rFonts w:hint="eastAsia" w:ascii="宋体" w:hAnsi="宋体" w:eastAsia="宋体" w:cs="宋体"/>
          <w:sz w:val="28"/>
          <w:szCs w:val="28"/>
        </w:rPr>
        <w:t>万元，公务用车购置及运行费</w:t>
      </w:r>
      <w:r>
        <w:rPr>
          <w:rFonts w:hint="eastAsia" w:ascii="宋体" w:hAnsi="宋体" w:eastAsia="宋体" w:cs="宋体"/>
          <w:sz w:val="28"/>
          <w:szCs w:val="28"/>
          <w:lang w:val="en-US" w:eastAsia="zh-CN"/>
        </w:rPr>
        <w:t>6</w:t>
      </w:r>
      <w:r>
        <w:rPr>
          <w:rFonts w:hint="eastAsia" w:ascii="宋体" w:hAnsi="宋体" w:eastAsia="宋体" w:cs="宋体"/>
          <w:sz w:val="28"/>
          <w:szCs w:val="28"/>
        </w:rPr>
        <w:t>万元（其中，公务用车购置费</w:t>
      </w:r>
      <w:r>
        <w:rPr>
          <w:rFonts w:hint="eastAsia" w:ascii="宋体" w:hAnsi="宋体" w:eastAsia="宋体" w:cs="宋体"/>
          <w:sz w:val="28"/>
          <w:szCs w:val="28"/>
          <w:lang w:val="en-US" w:eastAsia="zh-CN"/>
        </w:rPr>
        <w:t>0</w:t>
      </w:r>
      <w:r>
        <w:rPr>
          <w:rFonts w:hint="eastAsia" w:ascii="宋体" w:hAnsi="宋体" w:eastAsia="宋体" w:cs="宋体"/>
          <w:sz w:val="28"/>
          <w:szCs w:val="28"/>
        </w:rPr>
        <w:t>万元，公务用车运行费</w:t>
      </w:r>
      <w:r>
        <w:rPr>
          <w:rFonts w:hint="eastAsia" w:ascii="宋体" w:hAnsi="宋体" w:eastAsia="宋体" w:cs="宋体"/>
          <w:sz w:val="28"/>
          <w:szCs w:val="28"/>
          <w:lang w:val="en-US" w:eastAsia="zh-CN"/>
        </w:rPr>
        <w:t>6</w:t>
      </w:r>
      <w:r>
        <w:rPr>
          <w:rFonts w:hint="eastAsia" w:ascii="宋体" w:hAnsi="宋体" w:eastAsia="宋体" w:cs="宋体"/>
          <w:sz w:val="28"/>
          <w:szCs w:val="28"/>
        </w:rPr>
        <w:t>万元），因公出国（境）费0万元。</w:t>
      </w:r>
      <w:r>
        <w:rPr>
          <w:rFonts w:hint="eastAsia" w:ascii="宋体" w:hAnsi="宋体" w:eastAsia="宋体" w:cs="宋体"/>
          <w:sz w:val="28"/>
          <w:szCs w:val="28"/>
          <w:lang w:eastAsia="zh-CN"/>
        </w:rPr>
        <w:t>我校严格按照中央密切联系群众、改进工作作风的八项规定，严格公务接待费用，规范“三公”经费相关支出。</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三、</w:t>
      </w:r>
      <w:r>
        <w:rPr>
          <w:rFonts w:hint="eastAsia" w:ascii="宋体" w:hAnsi="宋体" w:eastAsia="宋体" w:cs="宋体"/>
          <w:b/>
          <w:bCs/>
          <w:sz w:val="28"/>
          <w:szCs w:val="28"/>
        </w:rPr>
        <w:t>政府性基金预算支出情况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国有资本经营预算支出情况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五、</w:t>
      </w:r>
      <w:r>
        <w:rPr>
          <w:rFonts w:hint="eastAsia" w:ascii="宋体" w:hAnsi="宋体" w:eastAsia="宋体" w:cs="宋体"/>
          <w:b/>
          <w:bCs/>
          <w:sz w:val="28"/>
          <w:szCs w:val="28"/>
        </w:rPr>
        <w:t>社会保险基金预算支出情况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无</w:t>
      </w:r>
    </w:p>
    <w:p>
      <w:pPr>
        <w:keepNext w:val="0"/>
        <w:keepLines w:val="0"/>
        <w:pageBreakBefore w:val="0"/>
        <w:widowControl w:val="0"/>
        <w:numPr>
          <w:ilvl w:val="0"/>
          <w:numId w:val="3"/>
        </w:numPr>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rPr>
        <w:t>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bookmarkStart w:id="0" w:name="_GoBack"/>
      <w:r>
        <w:rPr>
          <w:rFonts w:hint="eastAsia" w:ascii="宋体" w:hAnsi="宋体" w:eastAsia="宋体" w:cs="宋体"/>
          <w:sz w:val="28"/>
          <w:szCs w:val="28"/>
          <w:lang w:val="en-US" w:eastAsia="zh-CN"/>
        </w:rPr>
        <w:t>2025年部门整体支出得到了较好的回报，我校聘用公费师范生5人，职业技能等级认定5批次，招收新生2396人，免学费人数7166人，资助贫困学生1162人，国家奖学金8人，单招录取率达85.5%，“3+2中高职”衔接班122名学生转段考试通过率100%，166名教师通过了“双师型”教师认定，开展覆盖478人次的专题培训，组织消防、防暴等应急演练4次，全年开展防欺凌、防溺水、防诈骗等主题班会、专题讲座超10场；投资近300万元，为176间教室配备智慧黑板，对城北校区老食堂、礼堂、四合院等老旧场所进行提升改造，对学生宿舍、公共场所厕所进行卫生整治，完成设备采购8批次，基本完成了年初绩效总体目标。</w:t>
      </w:r>
      <w:bookmarkEnd w:id="0"/>
      <w:r>
        <w:rPr>
          <w:rFonts w:hint="eastAsia" w:ascii="宋体" w:hAnsi="宋体" w:eastAsia="宋体" w:cs="宋体"/>
          <w:sz w:val="28"/>
          <w:szCs w:val="28"/>
          <w:lang w:val="en-US" w:eastAsia="zh-CN"/>
        </w:rPr>
        <w:t>具体情况如下：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 深化教学改革，人才培养质量稳步提升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紧扣教学质量生命线，以课堂教学改革为核心，推动“三教”改革落地见效，人才培养的适应性、针对性不断增强。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教学常规管理更趋精细规范。创新教学管理方法，严格执行教学计划，持续推行“随堂听课”制度，将听课职责压实到校领导、中层干部。强化课堂教学全过程督查，全年组织教师公开课、示范课、汇报课共计90余节。坚持每日巡堂，重点治理学生上课睡觉、玩手机等现象，学风建设取得实效。全年规范组织各类考试20余场次，实现全流程规范管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技能竞赛与教科研工作成果凸显。坚持“以赛促教、以赛促学”。一是在2025年度湖南省“楚怡杯”职业院校技能竞赛中，荣获省一等奖1个、省三等奖3个。在“‘一带一路’暨金砖国家技能发展与技术创新大赛”“湖南省中小学生信息素养提升实践活动”中获得多项奖励。二是校内技能竞赛常态化，设置16个技能竞赛项目，共514名学生参赛。三是教科研工作深入推进，全年申报各级各类课题20余项，其中省级规划课题立项4个；完成2023年省级课题中期检查，8项“十四五”规划课题通过省、市中期检查，通过率100%。四是教师教学能力持续提升，在永州市教学设计与展示交流活动中获市一等奖6个，熊智本老师作品入围省赛并获三等奖。刘杰老师领办的维修电工工作室和孙玉俊老师领办的数控车工工作室，成功入选市级技能大师工作室建设项目名单。</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升学与就业齐头并进。面对生源基础薄弱的现实，弘扬“三苦”精神，持续实施“对口高考攻坚工程”。2025年3月24日，承办了“永州市2025年对口高考研讨会暨第二次质量分析会”，全市中职学校来校集中研讨对口高考工作。22级毕业班备考工作系统推进，组织月考、联考及质量分析会，开展百日誓师、考前心理辅导。2025届高考组织严密有序，顺利完成1498名学生的高考报名、体检、送考等工作。2025年单招录取率表现突出，寿雁校区22级学生单招录取率达85.5%（358人参考，306人录取）。22级“3+2中高职”衔接班汽检、机电、园艺三个专业122名学生转段考试通过率100%，顺利进入高等院校。制定《学生岗位实习工作方案》，有序组织2023级学生赴道县工业园及合作企业实习。举办“道县2025年民营企业校园招聘会”，吸引多家本地优质企业携岗入校，为毕业生搭建就业桥梁。</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四）专业建设与实训教学持续加强。一是在2025年永州市中职学校专业水平评估中，我校17个参评专业全部获评“绿牌”，其中9个为A类，整体情况居全市同类学校首位，电子信息技术和机电技术应用专业被评为永州市产教融合示范性专业。二是实训教学管理更加规范，实行“项目化教学+工单制管理”模式，落实实训室使用申请和督查制度，每月进行实训教学满意度调查。三是成功申报计算机应用、机电技术应用两个五年制大专班，与高职院校签订协议。四是全年组织学生参加电工、数控车工等工种职业技能等级认定，通过率较2024年有所提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 聚力强师兴教，师资队伍结构素质同步优化</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将师资队伍建设作为提升办学质量的关键支撑，多措并举，着力打造高素质专业化创新型教师队伍。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（一）“双师型”教师队伍建设有新突破。按照省教育厅要求，全力推进“双师型”教师认定工作。经过省教育厅严格审核，共有166人通过省级复核，通过率位居全市前列，覆盖了电子、数控、农艺等重点专业。</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教师专业发展与培训体系日益完善。选派教师参加国培、省培，搭建校内外交流平台。鼓励专业教师深入企业实践并考取职业资格证书，年内有6名教师考取了高级工证书。利用寒假开展校本培训、入企锻炼，常态化开展教研活动，全年召开教研组长会议、质量分析会10余次。评选校级骨干教师，发挥示范引领作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师德师风建设常抓不懈。组织教职工签订《师德师风承诺书》《防性侵承诺书》，开展覆盖478人次的专题培训，观看《利剑护蕾》等警示教育片，筑牢师德底线。举办师德师风演讲比赛，强化师德师风建设，努力营造风清气正的育人环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 坚持立德树人，学生综合素养得到全面发展</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构建“三全育人”格局，聚焦学生习惯养成和素质提升，努力培养德智体美劳全面发展的技术技能人才。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（一）德育长效机制与安全防线不断巩固。 一是修订《班主任绩效考核实施细则》，新增“心理健康干预实效”等指标，完善了评价体系，激发班主任工作积极性。二是完善严格落实“1530”安全教育制度，全年开展防欺凌、防溺水、防诈骗等主题班会、专题讲座超10场。三是建立心理健康重点学生台账，实施“一生一策”，干预成功率达100%。四是深化双重预防体系建设，全年排查整改安全隐患106处，加强了宿管、保安培训，组织消防、防暴等应急演练4次，校园安全基础更加牢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行为习惯养成教育持续推进。一是从生活习惯、劳动习惯入手进行入学教育，每周召开年级学生会处理违纪问题，每月召开主题班会。二是开展“规范管理、习惯养成”专项工作，整治抽烟、违规使用手机等问题。三是在全校范围开展文明寝室量化评比并每周通报，加强学生仪容仪表检查，并将其纳入班级考核。</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三）校园文化与实践活动丰富多彩。一是组织开展“三月学雷锋”志愿服务、“诵读中国”经典诵读大赛、讲好道县文化故事演讲比赛、各类主题黑板报手抄报评比等活动，极大丰富了学生课余生活。二是举办第二十八届学生体育运动会、新生广播体操比赛、跑操比赛，选派学生参加县第43届中小学生运动会并获佳绩。三是组织师生参与“湘超”永州主场表演活动，圆满完成了《百龙出征》和《永恒的丰碑》等融合湖湘文化及道州本地传统文化特色的节目演出，为永州队“湘超”夺冠贡献了工贸力量。四是社团建设蓬勃发展，吉他社、礼仪队、编织社、书法社等社团活动活跃，为学生提供了多元化发展平台。</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4、 夯实基础保障，办学条件与服务能力持续改善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着力破解发展瓶颈，努力改善师生学习工作生活环境，提升综合服务保障水平。</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基础设施建设取得突破性进展。大力推进办学条件提升行动，弥补基础设施“欠账”。一是投资近300万元，为176间教室配备智慧黑板，补齐信息化教学短板。对城北校区老食堂、礼堂、四合院等老旧场所进行提升改造，对学生宿舍、公共场所厕所进行卫生整治。二是加快湘南移民培训基地建设项目，该项目于2025年12月正式开工建设，拟于2026年底完成建设。保障性住房建设项目主体工程完成初步验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后勤服务管理更加精细规范。一是全面落实“校园餐”改革，把好“人员关”“食材关”“经费关”“口味关”“满意关”，确保食品安全“零事故”。二是实行食堂日管控、周排查、月调度，组织家长陪餐，精细化程度不断提高。三是探索建立高效的维修快速响应机制，采用线上申报、报批，线上组织实施的报修方式，提高了维修效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5、 拓展社会服务，服务地方发展担当作为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（一）社会培训品牌持续擦亮。 一是2025年继续开展“党建+乡村振兴高素质农民培育”培训学员149人。二是承接湖南紫金锂多金属新材料有限公司新进员工170人的培训，服务地方重点企业。三是举办GYB创业培训五期，培训学生360人。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产教融合校企合作走向深入。2025年与湖南紫金锂业有限公司签订战略合作协议。积极争取将产教融合列入县域“十五五”规划，旨在培育产教融合型企业，建设高水平实训基地。学校毕业生成为服务地方产业的重要力量。</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七、存在的主要问题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rPr>
      </w:pPr>
      <w:r>
        <w:rPr>
          <w:rFonts w:hint="eastAsia" w:ascii="宋体" w:hAnsi="宋体" w:eastAsia="宋体" w:cs="宋体"/>
          <w:sz w:val="28"/>
          <w:szCs w:val="28"/>
        </w:rPr>
        <w:t>每年加大优质学位供给力度，导致学校项目建设资金紧张。办学条件仍需持续改善。虽然通过集中整改，办学条件得到实质性提升，但实训设备、数字化校园等方面仍有提升空间。</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八、</w:t>
      </w:r>
      <w:r>
        <w:rPr>
          <w:rFonts w:hint="eastAsia" w:ascii="宋体" w:hAnsi="宋体" w:eastAsia="宋体" w:cs="宋体"/>
          <w:b/>
          <w:bCs/>
          <w:sz w:val="28"/>
          <w:szCs w:val="28"/>
        </w:rPr>
        <w:t>下一步改进措施</w:t>
      </w:r>
      <w:r>
        <w:rPr>
          <w:rFonts w:hint="eastAsia" w:ascii="宋体" w:hAnsi="宋体" w:eastAsia="宋体" w:cs="宋体"/>
          <w:b/>
          <w:bCs/>
          <w:sz w:val="28"/>
          <w:szCs w:val="28"/>
          <w:lang w:eastAsia="zh-CN"/>
        </w:rPr>
        <w:t>和有关建议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（一）争取经费，改善办学条件。积极争取各级财政经费和项目经费，添加仪器设备，加强实训基地建设，改善办学条件。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二）深化改革，增强质量意识。一是深化教学改革。用先进的教育理念引领教师积极开展教学改革，把人才培养目标落实到教学环节中。二是改革教学模式。注重教学过程与工作过程、专业学习与岗位要求、理论知识与实践技能等相统一。 </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（三）健全制度，规范管理活动 。根据学校管理工作的需要，建立健全和完善工作机制、规章制度和方法。将督查考核结果与绩效奖励、资源配置结合起来，与个人晋级晋升相挂钩，确保各项制度落实到日常教学中去。</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（四）优化环境，促进和谐发展。 一是优化育人环境。以教学为中心，以学生成长成才为根本，为学生的学习、生活提供更便捷的条件和更优美的环境。二是优化教师发展环境。改善教师办公条件和教学、科研环境，重视教师的个人发展，将教职工个人利益和学校利益有机结合起来。</w:t>
      </w:r>
    </w:p>
    <w:p>
      <w:pPr>
        <w:jc w:val="right"/>
        <w:rPr>
          <w:rFonts w:hint="eastAsia" w:ascii="宋体" w:hAnsi="宋体" w:eastAsia="宋体" w:cs="宋体"/>
          <w:sz w:val="28"/>
          <w:szCs w:val="28"/>
        </w:rPr>
      </w:pPr>
      <w:r>
        <w:rPr>
          <w:rFonts w:hint="eastAsia" w:ascii="宋体" w:hAnsi="宋体" w:eastAsia="宋体" w:cs="宋体"/>
          <w:sz w:val="28"/>
          <w:szCs w:val="28"/>
          <w:lang w:eastAsia="zh-CN"/>
        </w:rPr>
        <w:t>永州工贸学校</w:t>
      </w:r>
      <w:r>
        <w:rPr>
          <w:rFonts w:hint="eastAsia" w:ascii="宋体" w:hAnsi="宋体" w:eastAsia="宋体" w:cs="宋体"/>
          <w:sz w:val="28"/>
          <w:szCs w:val="28"/>
        </w:rPr>
        <w:t xml:space="preserve"> </w:t>
      </w:r>
    </w:p>
    <w:p>
      <w:pPr>
        <w:jc w:val="right"/>
        <w:rPr>
          <w:rFonts w:hint="eastAsia" w:ascii="宋体" w:hAnsi="宋体" w:eastAsia="宋体" w:cs="宋体"/>
          <w:sz w:val="28"/>
          <w:szCs w:val="28"/>
        </w:rPr>
      </w:pPr>
      <w:r>
        <w:rPr>
          <w:rFonts w:hint="eastAsia" w:ascii="宋体" w:hAnsi="宋体" w:eastAsia="宋体" w:cs="宋体"/>
          <w:sz w:val="28"/>
          <w:szCs w:val="28"/>
        </w:rPr>
        <w:t>202</w:t>
      </w:r>
      <w:r>
        <w:rPr>
          <w:rFonts w:hint="eastAsia" w:ascii="宋体" w:hAnsi="宋体" w:eastAsia="宋体" w:cs="宋体"/>
          <w:sz w:val="28"/>
          <w:szCs w:val="28"/>
          <w:lang w:val="en-US" w:eastAsia="zh-CN"/>
        </w:rPr>
        <w:t>6</w:t>
      </w:r>
      <w:r>
        <w:rPr>
          <w:rFonts w:hint="eastAsia" w:ascii="宋体" w:hAnsi="宋体" w:eastAsia="宋体" w:cs="宋体"/>
          <w:sz w:val="28"/>
          <w:szCs w:val="28"/>
        </w:rPr>
        <w:t xml:space="preserve">年 </w:t>
      </w:r>
      <w:r>
        <w:rPr>
          <w:rFonts w:hint="eastAsia" w:ascii="宋体" w:hAnsi="宋体" w:eastAsia="宋体" w:cs="宋体"/>
          <w:sz w:val="28"/>
          <w:szCs w:val="28"/>
          <w:lang w:val="en-US" w:eastAsia="zh-CN"/>
        </w:rPr>
        <w:t>4</w:t>
      </w:r>
      <w:r>
        <w:rPr>
          <w:rFonts w:hint="eastAsia" w:ascii="宋体" w:hAnsi="宋体" w:eastAsia="宋体" w:cs="宋体"/>
          <w:sz w:val="28"/>
          <w:szCs w:val="28"/>
        </w:rPr>
        <w:t xml:space="preserve"> 月</w:t>
      </w:r>
      <w:r>
        <w:rPr>
          <w:rFonts w:hint="eastAsia" w:ascii="宋体" w:hAnsi="宋体" w:eastAsia="宋体" w:cs="宋体"/>
          <w:sz w:val="28"/>
          <w:szCs w:val="28"/>
          <w:lang w:val="en-US" w:eastAsia="zh-CN"/>
        </w:rPr>
        <w:t>11</w:t>
      </w:r>
      <w:r>
        <w:rPr>
          <w:rFonts w:hint="eastAsia" w:ascii="宋体" w:hAnsi="宋体" w:eastAsia="宋体" w:cs="宋体"/>
          <w:sz w:val="28"/>
          <w:szCs w:val="28"/>
        </w:rPr>
        <w:t>日</w:t>
      </w:r>
    </w:p>
    <w:p>
      <w:pPr>
        <w:jc w:val="right"/>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C79BDD"/>
    <w:multiLevelType w:val="singleLevel"/>
    <w:tmpl w:val="C4C79BDD"/>
    <w:lvl w:ilvl="0" w:tentative="0">
      <w:start w:val="1"/>
      <w:numFmt w:val="decimal"/>
      <w:suff w:val="nothing"/>
      <w:lvlText w:val="%1、"/>
      <w:lvlJc w:val="left"/>
    </w:lvl>
  </w:abstractNum>
  <w:abstractNum w:abstractNumId="1">
    <w:nsid w:val="204C1407"/>
    <w:multiLevelType w:val="singleLevel"/>
    <w:tmpl w:val="204C1407"/>
    <w:lvl w:ilvl="0" w:tentative="0">
      <w:start w:val="1"/>
      <w:numFmt w:val="chineseCounting"/>
      <w:suff w:val="nothing"/>
      <w:lvlText w:val="（%1）"/>
      <w:lvlJc w:val="left"/>
      <w:rPr>
        <w:rFonts w:hint="eastAsia"/>
      </w:rPr>
    </w:lvl>
  </w:abstractNum>
  <w:abstractNum w:abstractNumId="2">
    <w:nsid w:val="4A846F6F"/>
    <w:multiLevelType w:val="singleLevel"/>
    <w:tmpl w:val="4A846F6F"/>
    <w:lvl w:ilvl="0" w:tentative="0">
      <w:start w:val="6"/>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0ZmNlODQwZDRjMzc4NmIzYzFmYjg5M2UxZTBiZjcifQ=="/>
  </w:docVars>
  <w:rsids>
    <w:rsidRoot w:val="424E6BB3"/>
    <w:rsid w:val="03EE202A"/>
    <w:rsid w:val="0CFF605A"/>
    <w:rsid w:val="17A34808"/>
    <w:rsid w:val="2FEE585F"/>
    <w:rsid w:val="3751721E"/>
    <w:rsid w:val="424E6BB3"/>
    <w:rsid w:val="65437F90"/>
    <w:rsid w:val="698B26F0"/>
    <w:rsid w:val="6AA149FB"/>
    <w:rsid w:val="6B1D3735"/>
    <w:rsid w:val="77612923"/>
    <w:rsid w:val="7B594C9D"/>
    <w:rsid w:val="7F113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widowControl w:val="0"/>
      <w:spacing w:before="0" w:after="120"/>
      <w:ind w:left="200" w:leftChars="200" w:right="0" w:firstLine="200" w:firstLineChars="200"/>
      <w:jc w:val="both"/>
    </w:pPr>
    <w:rPr>
      <w:rFonts w:ascii="Calibri" w:hAnsi="Calibri" w:eastAsia="宋体" w:cs="Times New Roman"/>
      <w:kern w:val="2"/>
      <w:sz w:val="21"/>
      <w:szCs w:val="24"/>
      <w:lang w:val="en-US" w:eastAsia="zh-CN" w:bidi="ar-SA"/>
    </w:rPr>
  </w:style>
  <w:style w:type="paragraph" w:styleId="3">
    <w:name w:val="Body Text Indent"/>
    <w:basedOn w:val="1"/>
    <w:qFormat/>
    <w:uiPriority w:val="0"/>
    <w:pPr>
      <w:widowControl w:val="0"/>
      <w:spacing w:before="0" w:after="120"/>
      <w:ind w:left="200" w:leftChars="200" w:right="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2372</Words>
  <Characters>2528</Characters>
  <Lines>0</Lines>
  <Paragraphs>0</Paragraphs>
  <TotalTime>4</TotalTime>
  <ScaleCrop>false</ScaleCrop>
  <LinksUpToDate>false</LinksUpToDate>
  <CharactersWithSpaces>2544</CharactersWithSpaces>
  <Application>WPS Office_11.1.0.8415_F1E327BC-269C-435d-A152-05C5408002CA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2023-08-11T06:53:00Z</dcterms:created>
  <dc:creator>宁静致远</dc:creator>
  <cp:lastModifiedBy>Administrator</cp:lastModifiedBy>
  <dcterms:modified xsi:type="dcterms:W3CDTF">2026-09-04T08:08:31Z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y fmtid="{D5CDD505-2E9C-101B-9397-08002B2CF9AE}" pid="3" name="ICV">
    <vt:lpwstr>4105D166DD9A4A4789A240707F80FD3E_11</vt:lpwstr>
  </property>
  <property fmtid="{D5CDD505-2E9C-101B-9397-08002B2CF9AE}" pid="4" name="KSOTemplateDocerSaveRecord">
    <vt:lpwstr>eyJoZGlkIjoiNjI4NTM1ZGUyYTQ2MTBjNjUzNjExY2M1OGRiMmIwMjgiLCJ1c2VySWQiOiIzNzE4NDYxODQifQ==</vt:lpwstr>
  </property>
</Properties>
</file>