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A9ADA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p w14:paraId="1426BDE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32"/>
        </w:rPr>
      </w:pPr>
      <w:r>
        <w:rPr>
          <w:rFonts w:hint="eastAsia" w:ascii="宋体" w:hAnsi="宋体" w:eastAsia="宋体" w:cs="宋体"/>
          <w:b/>
          <w:bCs w:val="0"/>
          <w:sz w:val="44"/>
          <w:szCs w:val="32"/>
        </w:rPr>
        <w:t>202</w:t>
      </w:r>
      <w:r>
        <w:rPr>
          <w:rFonts w:hint="eastAsia" w:ascii="宋体" w:hAnsi="宋体" w:eastAsia="宋体" w:cs="宋体"/>
          <w:b/>
          <w:bCs w:val="0"/>
          <w:sz w:val="4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sz w:val="44"/>
          <w:szCs w:val="32"/>
        </w:rPr>
        <w:t>年道县寿雁镇人民政府部门</w:t>
      </w:r>
    </w:p>
    <w:p w14:paraId="6A190B6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32"/>
        </w:rPr>
      </w:pPr>
      <w:r>
        <w:rPr>
          <w:rFonts w:hint="eastAsia" w:ascii="宋体" w:hAnsi="宋体" w:eastAsia="宋体" w:cs="宋体"/>
          <w:b/>
          <w:bCs w:val="0"/>
          <w:sz w:val="44"/>
          <w:szCs w:val="32"/>
        </w:rPr>
        <w:t>整体支出绩效评价报告</w:t>
      </w:r>
    </w:p>
    <w:p w14:paraId="6286ED3E">
      <w:pPr>
        <w:spacing w:line="360" w:lineRule="exact"/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p w14:paraId="5F83F203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一、部门概况</w:t>
      </w:r>
    </w:p>
    <w:p w14:paraId="1F200F30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142"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（一）部门基本情况：</w:t>
      </w:r>
    </w:p>
    <w:p w14:paraId="50C4F805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700" w:firstLineChars="2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1．主要职能。</w:t>
      </w:r>
    </w:p>
    <w:p w14:paraId="1455D6B0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（1）执行本级人民代表大会的决议和上级国家行政机关的决定和命令，发布决定和命令。</w:t>
      </w:r>
    </w:p>
    <w:p w14:paraId="30FD91E9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（2）执行本行政区域内的经济和社会发展计划，加强公共设施的建设和管理，发展各项服务事业。</w:t>
      </w:r>
    </w:p>
    <w:p w14:paraId="5B88555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（3）依法管理本级财政、执行本级预算。</w:t>
      </w:r>
    </w:p>
    <w:p w14:paraId="5FC7E6F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（4）为农民提供有效的科技、教育、文化、信息、卫生、体育、医疗、人才开发、劳动就业、安全生产等方面的服务。</w:t>
      </w:r>
    </w:p>
    <w:p w14:paraId="4667437C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（5）保护国有资产和集体所有的财产，保护公民私人所有的合法财产、保障公民的人身权利、民主权利和其他权利，保护各种组织的合法权益。</w:t>
      </w:r>
    </w:p>
    <w:p w14:paraId="5299A98D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（6）开展社会主义民主与法制教育，加强社会治安综合治理，调解民事纠纷，维护社会秩序。</w:t>
      </w:r>
    </w:p>
    <w:p w14:paraId="175A8163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（7）推行乡村振兴，推进新农村建设与美丽乡村建设。</w:t>
      </w:r>
    </w:p>
    <w:p w14:paraId="3A4BDB7A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（8）负责民政工作，发展社会福利事业，做好社会保障工作，办理兵役事项。</w:t>
      </w:r>
    </w:p>
    <w:p w14:paraId="36D7199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（9）承办上级人民政府交办的其他事项。</w:t>
      </w:r>
    </w:p>
    <w:p w14:paraId="7DD2ACE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2．机构情况，包括当年变动情况及原因。</w:t>
      </w:r>
    </w:p>
    <w:p w14:paraId="38CA368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道县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寿雁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镇人民政府单位内设机构包括：党政办公室、农业综合技术推广事务中心、文教体广电事务中心、社会保障和社会救助事务中心、人口和计划生育事务中心、建设和公共安全事务中心、林业水利事务中心等7个职能部室。</w:t>
      </w:r>
    </w:p>
    <w:p w14:paraId="32EE4380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3．人员情况，包括当年变动情况及原因。</w:t>
      </w:r>
    </w:p>
    <w:p w14:paraId="21233D32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202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年行政编制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55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人，事业编制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81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工勤人员编制数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62626"/>
          <w:spacing w:val="0"/>
          <w:sz w:val="28"/>
          <w:szCs w:val="28"/>
          <w:shd w:val="clear" w:fill="FFFFFF"/>
          <w:lang w:val="en-US" w:eastAsia="zh-CN"/>
        </w:rPr>
        <w:t>3人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。实有在编人数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134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人，退休人员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37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人。配有小车1辆。</w:t>
      </w:r>
    </w:p>
    <w:p w14:paraId="6DAE657A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420" w:firstLineChars="1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（二）部门整体支出规模、使用方向和主要内容</w:t>
      </w:r>
    </w:p>
    <w:p w14:paraId="03D56037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202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年支出决算数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3458.16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万元；其中：工资福利支出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1554.44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万元，一般商品和服务支出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519.56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万元，对个人和家庭补助支出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1103.18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万元，农林水事务支出（含村级经服务平台建设款等）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1618.78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万元。</w:t>
      </w:r>
    </w:p>
    <w:p w14:paraId="44A8279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二、一般公共预算支出情况</w:t>
      </w:r>
    </w:p>
    <w:p w14:paraId="64E12582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（一）基本支出情况</w:t>
      </w:r>
    </w:p>
    <w:p w14:paraId="5DD49BFC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用于为保障我单位正常运转、完成日常工作任务而发生的支出，包括人员经费和公用经费。202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年一般公共预算拨款基本支出1602.74万元，其中：工资福利支出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1451.22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万元，一般商品和服务支出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151.22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万元。具体安排情况如下：</w:t>
      </w:r>
    </w:p>
    <w:p w14:paraId="2DEF2482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其中机关运行经费情况：202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年机关运行经费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151.22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万元，主要包括办公费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万元，印刷费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万元，水费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万元，电费（含集镇路灯费）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13.62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万元，邮电费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2.2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万元，取暖费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万元，差旅费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8.8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万元，维修费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万元，租赁费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万元，会议费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2.1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万元，培训费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3.6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万元，公务接待费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万元，劳务费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万元，委托加工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万元，工会经费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29.28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万元，福利费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万元，公务用车运行维护费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万元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其他交通费5万元；其他商品和服务支出6.92万元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。</w:t>
      </w:r>
    </w:p>
    <w:p w14:paraId="183FCBE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（二）项目支出情况</w:t>
      </w:r>
    </w:p>
    <w:p w14:paraId="4C94CF78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</w:rPr>
        <w:t>202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</w:rPr>
        <w:t>年本部门项目支出预算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1855.41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</w:rPr>
        <w:t>万元，主要是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部门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shd w:val="clear" w:color="auto" w:fill="FFFFFF"/>
        </w:rPr>
        <w:t>为完成特定行政工作任务或事业发展目标而发生的支出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，包括有关事业发展专项、专项业务费、基本建设支出等</w:t>
      </w:r>
      <w:bookmarkStart w:id="0" w:name="START_PUNCTUATION_MARK"/>
      <w:bookmarkEnd w:id="0"/>
      <w:bookmarkStart w:id="1" w:name="END_PUNCTUATION_MARK"/>
      <w:bookmarkEnd w:id="1"/>
      <w:bookmarkStart w:id="2" w:name="DIS_MARK_PUNCTUATION_MARK"/>
      <w:bookmarkEnd w:id="2"/>
      <w:bookmarkStart w:id="3" w:name="START_PAY_YBGGFWXMZC"/>
      <w:bookmarkEnd w:id="3"/>
      <w:bookmarkStart w:id="4" w:name="DIS_MARK_PAY_YBGGFWXMZC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，其中：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年乡镇人大代表经费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4.14万元，2025乡镇人大代表活动经费2.2万元，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主要用于乡镇人大代表调研经费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；乡镇党校办学经费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8.1万元，主要用于乡镇党建培训经费；机构改革人员财政专项补助经费95.62万元，主要用于机改人员工资和社保；工作经费61.83万元，主要用于相关工作经费；县域社会治理经费4万元，只要用于乡镇社会治理；乡镇纪检办案经费6.3万元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主要用于乡镇纪检办案各项开支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；两企三新党建工作经费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1.44万元，主要用于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两企三新党建工作；公共文化服务体系建设补助资金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3万元，主要用于寿雁镇文化活动室建设；遗属抚养及一次性抚恤9.06万元，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主要用于一次性抚恤及遗属抚养开支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；2025年医疗救助工作经费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3.2万元，主要用于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2025年医疗救助工作；2025年城乡医保目标管理绩效考核经费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5.77万元；网格护林员工资7.29万元，主要用于发放网格护林员工资；农村公益事业奖补资金227万元，主要用于村居基础设施建设；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村级办公经费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148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万元，主要用于村居委员会日常开支；村级运转经费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929.54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万元，村级组织为民服务专项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22万元，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主要用于为民服务经费、村干部报酬，村干部年终绩效，离任困难补助，村主干社保等；村监委会经费22.00万元，主要用于村级监督委员会成员工资发放及工作经费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烟叶税奖励经费235.13万元，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主要用于职业烟农奖补及政府运转经费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；美丽乡村建设项目5万元，主要用于铁乐湾村美丽乡村建设项目；2025年永久基本农田非耕地整改项目3万元；2022年-2025年耕地恢复项目20.81万元；乡镇资金12.98万元；彩票公益金18万元；</w:t>
      </w:r>
    </w:p>
    <w:bookmarkEnd w:id="4"/>
    <w:p w14:paraId="3D609F67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（三）“三公经费”预算与实际支出减少</w:t>
      </w:r>
    </w:p>
    <w:p w14:paraId="30118229">
      <w:pPr>
        <w:pStyle w:val="1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2025年，道县寿雁镇人民政府财政所2025年度“三公”经费财政拨款支出决算数未超预算为4元。与2024年度相比，减少12.21万元，主要变动原因：乡镇取消公务接待，无公务接待开支。</w:t>
      </w:r>
    </w:p>
    <w:p w14:paraId="2F975940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三、政府性基金预算支出情况</w:t>
      </w:r>
    </w:p>
    <w:p w14:paraId="552E0F96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年无政府性基金预算拨款支出。</w:t>
      </w:r>
    </w:p>
    <w:p w14:paraId="0D13CB9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四、国有资本经营预算支出情况</w:t>
      </w:r>
    </w:p>
    <w:p w14:paraId="6E44F9CD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年无国有资本经营预算支出。</w:t>
      </w:r>
    </w:p>
    <w:p w14:paraId="06926E9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五、社会保险基金预算支出情况</w:t>
      </w:r>
    </w:p>
    <w:p w14:paraId="057A7D01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年无社会保险基金预算支出。</w:t>
      </w:r>
    </w:p>
    <w:p w14:paraId="3D05F00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六、部门整体支出绩效情况</w:t>
      </w:r>
    </w:p>
    <w:p w14:paraId="56D24DB4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shd w:val="clear" w:color="auto" w:fill="FFFFFF"/>
        </w:rPr>
        <w:t>(一)部门预算管理</w:t>
      </w:r>
    </w:p>
    <w:p w14:paraId="55544A62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包括部门绩效目标制定、目标完成、预算编制准确、支出控制、预算动态调整、执行进度、预算完成情况和违规记录等情况。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年本部门的绩效目标制定、目标完成、预决算编制等均按照县财政局下达 的相关文件指标进行了编制，均按相关要求严格执行预算范围内开支，并完成所有预定目标，年中人员调离本单位，及时进行了预算动态调整，全年无违规记录。</w:t>
      </w:r>
    </w:p>
    <w:p w14:paraId="265BED9A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(二)专项预算管理</w:t>
      </w:r>
    </w:p>
    <w:p w14:paraId="7381C0E9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11"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包括专项预算项目程序严密、规划合理、结果符合、分配科学、分配及时、专项预算绩效目标完成、实施绩效、违规记录等情况。按照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级的专项资金管理办法，实施专款专用原则根据各项目进展、完成情况，合理规划、科学分配专项资金，项目资金专款专用。完成专项预算绩效目标，无违规记录。为确保项目顺利实施，我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镇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加强了资金管理，专项资金严格按照财政规定，开展项目完工验收等工作。严格按照资金管理办法进行资金拨付。</w:t>
      </w:r>
    </w:p>
    <w:p w14:paraId="2AB7ABDE">
      <w:pPr>
        <w:pStyle w:val="7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三）结果与应用情况</w:t>
      </w:r>
    </w:p>
    <w:p w14:paraId="0AE1778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一）强化“红色引擎”，激发干事创业新活力。寿雁镇始终将党的建设作为引领发展的“红色引擎”，着力强基固本、锻造队伍、严明纪律。一是理论武装铸魂。坚持把政治建设摆在首位，严格落实“第一议题”制度，全年开展党委理论中心组学习12次、专题研讨4次。依托镇党校、永州工贸学校举办党员冬春训、村干部专题培训5期，培训930余人次，有效提升党员干部政治素养和履职能力。二是组织堡垒提质。整顿转化软弱涣散基层党组织4个，调整不胜任、不尽职村干部13人，选优配强村干部22人。扎实做好村“两委”换届准备工作，全面完成44个村（居）村级财务清查和村级组织成员任期经济责任审计，同步组织各村查清村账以外收支、负债情况，算好换届“经济账”。同时，由班子成员带队成立7个考察组，逐村与党员干部开展谈心谈话，分析班子运行情况，研判干部进退留转，发现和储备村后备力量204人，其中村党组织书记后备力量51人，为换届储备充足且合适人选。三是严肃纪律护航。深入开展中央八项规定精神学习教育和“学查改”活动，查摆整改问题229个。扎实推进群众身边不正之风和腐败问题、农村“三资”管理突出问题专项整治，立案15起，党纪政务处分14人，营造了风清气正的政治生态。四是扛牢意识责任。始终将意识形态其摆在突出位置，着力构建党委统一领导、党政齐抓共管、宣传部门组织协调、各职能部门分工负责的工作体系。全年召开意识形态专题研判会2次，分析辖区思想动态、舆情风险，解决阵地管理、队伍建设等实际问题4项。组建“草根宣讲队”“青年宣讲团”等特色队伍，创新推出“小板凳课堂”“乡音广播站”“庭院微党课”，深入田间地头、村组院落开展分众化宣讲100余场次，覆盖群众2万人次。加强村（居）微信群等平台管理，严禁发布与国家的法律法规、制度、政策相抵触的言论。及时回复12345交办件380起，回复网信交办件26起，处置网络舆情1起。</w:t>
      </w:r>
    </w:p>
    <w:p w14:paraId="276C48B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二）构建“善治格局”，开创平安稳定新局面。寿雁镇创新治理方式，实行标本兼治、重在预防，有效提升了治理效能。一是多元调解化纠纷。依托镇综治中心（派出所），发挥“政法五老”（221名）和专业调解力量作用，建立信息联动攻坚、“分流合作”处理、“闭环跟踪”问效三项机制，成功调解矛盾纠纷45起，成功率96%，经验在全市作交流发言。二是信访攻坚解难题。 狠抓初信初访办理（受理68件，办结66件，满意率96%）和积案化解，成功化解积案6件，签订调解和息访协议15件，目前止进京走访登记2人次，实现信访总量和越级访“双下降”。三是立体防控护平安。实施正面引导、反而警示、精准摸排、重点管控、重拳打击等方式，构建立体防护网，确保了“六个不发生”目标。劝返核减境外涉诈人员58名，高效处置“两卡”线索395条。深化“利剑护蕾”行动，对266名重点人员分级管控，开展专题宣教16场覆盖4000余人次，筑牢未成年人保护防线。年内无新增外流贩毒和假币犯罪。</w:t>
      </w:r>
    </w:p>
    <w:p w14:paraId="15DD962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三）聚力“项目攻坚”，积蓄跨越发展新势能。寿雁镇坚持项目为王，全力服务保障重大项目建设，夯实发展基础。一是保障重大工程。高效完成零道高速寿雁段34户房屋拆迁、364座坟墓搬迁及30余起矛盾调处，保障了施工顺利。积极配合G357国道提质改造、乐福堂三级公路建设，服务干里水库、玉蟾岩遗址景区等重点项目。二是完善基础设施。实施集镇重点片区连片改造，推进雨污水管网改造修复11公里。寿雁牛市及集市改造等项目进展顺利，城镇功能品质持续提升。有序推进豪福村“美丽湘村”建设。</w:t>
      </w:r>
    </w:p>
    <w:p w14:paraId="15EF896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四）守牢“两条底线”，绘就乡村振兴新画卷。寿雁镇聚焦“三农”工作重点，牢牢守住保障国家粮食安全和不发生规模性返贫两条底线。一是坚决守牢粮食安全底线。寿雁镇坚决扛牢粮食安全政治责任，同时大力发展特色产业，推动农业增效、农民增收。一方面，坚决遏制耕地“非农化”“非粮化”，完成永农整改面积174.22亩，耕地恢复面积519.38亩，建设高枧村高标准农田667.73亩。全年粮食播种面积达62894亩，超额完成扩面3000亩目标，顺利通过省级第三方验收。扎实推进第二轮土地延包，42个村14405户参与，网签率达98.51%，耕地确权面积57627.86亩，丙田村园地确权到户经验获农业农村部认可。另一方面，因地制宜发展乌龟、黑山羊、生猪养殖和蔬菜、脐橙、烤烟、油菜、油茶种植等特色产业，蔬菜基地流转土地500余亩，脐橙种植面积达1.3万亩，烤烟收购11480担，油菜播种2.3万亩，生猪出栏7.2万头，多元产业格局初步形成。二是坚决守牢不发生规模性返贫底线。扎实做好防返贫监测帮扶工作，构建“农户申报+干部排查+部门预警”三位一体监测网络，常态化开展“大走访、大排查”，全年核实处理预警信息184条，对“十类重点对象”精准画像，精准识别纳入监测对象6户，确保“应纳尽纳”。坚持“一户一策”，实施产业帮扶380户、就业帮扶990户、公益性岗位66户、教育帮扶164户、金融帮扶145户。今年发放到户产业奖补56.94万元惠及300户1601人。消除返贫风险47户131人，户均增收900元以上。发放“雨露计划”、教育资助等67.59万元，惠及学生670人次，实现“应帮尽帮。三是大力整治陈规陋习。通过宣传栏、广播、微信群等广泛宣传《村规民约》《红白理事会章程》，组织开展“抵制高价彩礼”“反对铺张浪费”“倡导厚养薄葬”“禁止酗酒劝酒”等主题活动，营造文明新风浓厚氛围；充分发挥红白理事会、村民议事会作用，规范婚丧嫁娶流程，倡导简办俭办，全年指导简办红白事5起，群众满意度持续提升；深入开展“美丽乡村”“文明家庭”“身边好人”等评选活动，用身边人讲身边事、用身边事教育身边人，形成崇德向善、见贤思齐的良好风尚。</w:t>
      </w:r>
    </w:p>
    <w:p w14:paraId="139E78F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五）传递“民生温度”，提升幸福生活新质感。寿雁镇始终坚持以人民为中心的发展思想，用心用情用力办好民生实事。一是社会保障兜底线。精准落实特困供养、低保、残疾人、临时救助等政策，全年发放各类补贴救助资金近881.2万元，新纳入保障对象150余人，切实兜牢民生底线。二是安全守护强防线。常态化开展道交安、建筑、消防、危化品、烟花、燃气等领域安全隐患大排查、大整改，定期开展道交安、防溺水、小火亡人、森林防火等敲门行动。累计整治车辆318辆，劝导佩戴头盔4100余人次。对全镇371家商铺进行了全覆盖排查，整改隐患120处。为特殊群体安装智慧烟感器401套。高效处置森林火情10余起，全镇未发生安全生产事故。三是丰富生活扬正气。成功举办第二届捐资助学活动，筹集84.58万元，表彰优秀学生371人。开展“与书为伴”、“七彩假期”等活动，助力青少年健康成长。举办第三届“谷源杯”篮球联赛，24支队伍参赛，吸引了线上线下近10万余人次观赛，积极参与了“爬龙舟，看湘超”活动，丰富群众精神文化生活。</w:t>
      </w:r>
    </w:p>
    <w:p w14:paraId="353A4881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七、存在的主要问题</w:t>
      </w:r>
      <w:bookmarkStart w:id="5" w:name="_GoBack"/>
      <w:bookmarkEnd w:id="5"/>
    </w:p>
    <w:p w14:paraId="50872558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公务接待与工作餐存在界限不明晰，上级单位来乡镇搞比较大型点集中活动，存在接待费与工作餐交叉情况，范围难以把握。</w:t>
      </w:r>
    </w:p>
    <w:p w14:paraId="2293DF87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办公费发票有些不规范，存在急购物品没有经过采购平台现象。</w:t>
      </w:r>
    </w:p>
    <w:p w14:paraId="63120D3F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差旅费报销有些附件不齐、天数确定不正确、人数有些随意性、审核审批不严。</w:t>
      </w:r>
    </w:p>
    <w:p w14:paraId="6110B765">
      <w:pPr>
        <w:pStyle w:val="2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Chars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下乡开展工作的交通、伙食补助有些虚数、标准不一。</w:t>
      </w:r>
    </w:p>
    <w:p w14:paraId="412B6C65">
      <w:pPr>
        <w:pStyle w:val="7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bidi="ar-SA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bidi="ar-SA"/>
        </w:rPr>
        <w:t>一些小微工程合同、验收流于形式，不客观欠真实。</w:t>
      </w:r>
    </w:p>
    <w:p w14:paraId="70519B0F">
      <w:pPr>
        <w:pStyle w:val="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Chars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bidi="ar-SA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bidi="ar-SA"/>
        </w:rPr>
        <w:t>一些需要单位自己结合实际完善的规章制度没有认真完善实施。</w:t>
      </w:r>
    </w:p>
    <w:p w14:paraId="78130202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Times New Roman"/>
          <w:b/>
          <w:sz w:val="32"/>
          <w:szCs w:val="32"/>
        </w:rPr>
      </w:pPr>
      <w:r>
        <w:rPr>
          <w:rFonts w:hint="eastAsia" w:cs="Times New Roman"/>
          <w:b/>
          <w:sz w:val="32"/>
          <w:szCs w:val="32"/>
        </w:rPr>
        <w:t>八、下一步改进措施和有关建议</w:t>
      </w:r>
    </w:p>
    <w:p w14:paraId="4F1E8906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700" w:firstLineChars="2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（一）规范账务处理，提高财务信息质量 。</w:t>
      </w:r>
    </w:p>
    <w:p w14:paraId="0A42FD0D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700" w:firstLineChars="2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77DEA743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700" w:firstLineChars="25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（二）落实管理制度，进一步加强接待管理。</w:t>
      </w:r>
    </w:p>
    <w:p w14:paraId="0781EBA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按照《道县党政机关公务接待管理实施细则》的加强接待管理工作，对被接待单位人员要及时索取接待函，对存在的问题认真进行整改、结合本单位实际，制定相关制度的实施细则，以便具体操作。</w:t>
      </w:r>
    </w:p>
    <w:p w14:paraId="6EB932A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（三）加强会计机构队伍建设</w:t>
      </w:r>
    </w:p>
    <w:p w14:paraId="7271E9B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按照《中华人民共和国会计法》要求建立会计机关，配备齐会计人员，做到不相容岗位分设，加强会计监督。</w:t>
      </w:r>
    </w:p>
    <w:p w14:paraId="482C0B7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（四）对不规范的接待费、差旅费、采购、交通伙食补助等完善手续，各项专项资金纳入专项资金专户核算，工程项目按规定进行真实的招投标、验收工作。</w:t>
      </w:r>
    </w:p>
    <w:p w14:paraId="59AA891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九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、绩效自评结果拟应用和公开情况</w:t>
      </w:r>
    </w:p>
    <w:p w14:paraId="490E2205">
      <w:pPr>
        <w:pStyle w:val="1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11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我单位将充分运用绩效自评结果情况，在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年的各项工作中认真加以整改、完善；根据要求在指定的政府相关网站、规定的时间内将202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  <w:t>年绩效自评及绩效评价报告挂网公开。本单位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没有其他需要说明的情况。</w:t>
      </w:r>
    </w:p>
    <w:p w14:paraId="63F0161A">
      <w:pPr>
        <w:pStyle w:val="1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11"/>
        <w:textAlignment w:val="auto"/>
        <w:rPr>
          <w:rFonts w:hint="eastAsia" w:ascii="仿宋" w:hAnsi="仿宋" w:eastAsia="仿宋" w:cs="仿宋"/>
          <w:b w:val="0"/>
          <w:bCs w:val="0"/>
          <w:color w:val="010101"/>
          <w:sz w:val="28"/>
          <w:szCs w:val="28"/>
        </w:rPr>
      </w:pPr>
    </w:p>
    <w:p w14:paraId="3841B3CA">
      <w:pPr>
        <w:pageBreakBefore w:val="0"/>
        <w:kinsoku/>
        <w:wordWrap/>
        <w:overflowPunct/>
        <w:topLinePunct w:val="0"/>
        <w:autoSpaceDE/>
        <w:autoSpaceDN/>
        <w:bidi w:val="0"/>
        <w:spacing w:beforeLines="50" w:line="560" w:lineRule="exact"/>
        <w:ind w:right="311"/>
        <w:jc w:val="righ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道县寿雁镇人民政府</w:t>
      </w:r>
    </w:p>
    <w:p w14:paraId="1138B9A9">
      <w:pPr>
        <w:pageBreakBefore w:val="0"/>
        <w:kinsoku/>
        <w:wordWrap/>
        <w:overflowPunct/>
        <w:topLinePunct w:val="0"/>
        <w:autoSpaceDE/>
        <w:autoSpaceDN/>
        <w:bidi w:val="0"/>
        <w:spacing w:beforeLines="50" w:line="560" w:lineRule="exact"/>
        <w:ind w:right="11"/>
        <w:jc w:val="righ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202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日</w:t>
      </w:r>
    </w:p>
    <w:p w14:paraId="55ECBFB8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25AEE740"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21E8014D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5804FB"/>
    <w:multiLevelType w:val="multilevel"/>
    <w:tmpl w:val="665804FB"/>
    <w:lvl w:ilvl="0" w:tentative="0">
      <w:start w:val="1"/>
      <w:numFmt w:val="decimal"/>
      <w:lvlText w:val="%1、"/>
      <w:lvlJc w:val="left"/>
      <w:pPr>
        <w:tabs>
          <w:tab w:val="left" w:pos="644"/>
        </w:tabs>
        <w:ind w:left="644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lMGQ5ZDI3MmE0Y2I3M2ZkMWM5YjhiYjMzZjFhMmIifQ=="/>
  </w:docVars>
  <w:rsids>
    <w:rsidRoot w:val="706D39CB"/>
    <w:rsid w:val="000629A3"/>
    <w:rsid w:val="0006318F"/>
    <w:rsid w:val="001D6E29"/>
    <w:rsid w:val="001F7213"/>
    <w:rsid w:val="002029C3"/>
    <w:rsid w:val="002B643B"/>
    <w:rsid w:val="003912DF"/>
    <w:rsid w:val="0040301B"/>
    <w:rsid w:val="00490604"/>
    <w:rsid w:val="004A1670"/>
    <w:rsid w:val="005474E2"/>
    <w:rsid w:val="005C4E2D"/>
    <w:rsid w:val="0068704C"/>
    <w:rsid w:val="006B5407"/>
    <w:rsid w:val="006D7B0A"/>
    <w:rsid w:val="00725D8D"/>
    <w:rsid w:val="008A1040"/>
    <w:rsid w:val="009E5CBB"/>
    <w:rsid w:val="00A370E4"/>
    <w:rsid w:val="00A642C1"/>
    <w:rsid w:val="00C01FBE"/>
    <w:rsid w:val="00C80991"/>
    <w:rsid w:val="00C90CB4"/>
    <w:rsid w:val="00CB456B"/>
    <w:rsid w:val="00CE5EC5"/>
    <w:rsid w:val="00D06897"/>
    <w:rsid w:val="00DD330B"/>
    <w:rsid w:val="00E06608"/>
    <w:rsid w:val="00EC14BD"/>
    <w:rsid w:val="00F7055C"/>
    <w:rsid w:val="00FB40A0"/>
    <w:rsid w:val="00FC18D3"/>
    <w:rsid w:val="02407863"/>
    <w:rsid w:val="02915E86"/>
    <w:rsid w:val="03E60511"/>
    <w:rsid w:val="05101E56"/>
    <w:rsid w:val="05B93AC3"/>
    <w:rsid w:val="08452B56"/>
    <w:rsid w:val="08B514C2"/>
    <w:rsid w:val="08C169F5"/>
    <w:rsid w:val="0C8D1CDD"/>
    <w:rsid w:val="0D8E04F1"/>
    <w:rsid w:val="0EC705E9"/>
    <w:rsid w:val="123F1366"/>
    <w:rsid w:val="14B51235"/>
    <w:rsid w:val="1C8256C5"/>
    <w:rsid w:val="1D901D5D"/>
    <w:rsid w:val="20862FDA"/>
    <w:rsid w:val="21692AC6"/>
    <w:rsid w:val="217648FE"/>
    <w:rsid w:val="24E8169B"/>
    <w:rsid w:val="25B52667"/>
    <w:rsid w:val="27CF5603"/>
    <w:rsid w:val="2CBB064F"/>
    <w:rsid w:val="31AB3CAE"/>
    <w:rsid w:val="35591487"/>
    <w:rsid w:val="363D0E07"/>
    <w:rsid w:val="37164F30"/>
    <w:rsid w:val="376E3DCC"/>
    <w:rsid w:val="3C0F6E99"/>
    <w:rsid w:val="42A91B25"/>
    <w:rsid w:val="43864B27"/>
    <w:rsid w:val="43A52DA8"/>
    <w:rsid w:val="445E3723"/>
    <w:rsid w:val="45B6258A"/>
    <w:rsid w:val="4710453E"/>
    <w:rsid w:val="484A67E7"/>
    <w:rsid w:val="4B922E26"/>
    <w:rsid w:val="4BAD77B9"/>
    <w:rsid w:val="4C120BAA"/>
    <w:rsid w:val="4D6C7200"/>
    <w:rsid w:val="50324731"/>
    <w:rsid w:val="5133372E"/>
    <w:rsid w:val="536966BB"/>
    <w:rsid w:val="539E64EB"/>
    <w:rsid w:val="541A0126"/>
    <w:rsid w:val="56A73064"/>
    <w:rsid w:val="5C29540A"/>
    <w:rsid w:val="5EA467FA"/>
    <w:rsid w:val="60F27A3B"/>
    <w:rsid w:val="627D0960"/>
    <w:rsid w:val="628C5F22"/>
    <w:rsid w:val="62B213ED"/>
    <w:rsid w:val="62B2735D"/>
    <w:rsid w:val="640E3B36"/>
    <w:rsid w:val="64E35B79"/>
    <w:rsid w:val="65682200"/>
    <w:rsid w:val="65EA6E49"/>
    <w:rsid w:val="66846D94"/>
    <w:rsid w:val="66B471E7"/>
    <w:rsid w:val="67AB6E4B"/>
    <w:rsid w:val="67D3465B"/>
    <w:rsid w:val="6859247E"/>
    <w:rsid w:val="6883377C"/>
    <w:rsid w:val="699D0FF6"/>
    <w:rsid w:val="6B547589"/>
    <w:rsid w:val="706D39CB"/>
    <w:rsid w:val="74A83F37"/>
    <w:rsid w:val="7E834D04"/>
    <w:rsid w:val="7F59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Body Text"/>
    <w:basedOn w:val="1"/>
    <w:next w:val="8"/>
    <w:qFormat/>
    <w:uiPriority w:val="1"/>
    <w:pPr>
      <w:ind w:left="106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8">
    <w:name w:val="Body Text First Indent"/>
    <w:basedOn w:val="7"/>
    <w:qFormat/>
    <w:uiPriority w:val="99"/>
    <w:pPr>
      <w:ind w:firstLine="420" w:firstLineChars="100"/>
    </w:pPr>
    <w:rPr>
      <w:rFonts w:ascii="Calibri" w:hAnsi="Calibri" w:eastAsia="微软雅黑" w:cs="Calibri"/>
    </w:rPr>
  </w:style>
  <w:style w:type="paragraph" w:styleId="9">
    <w:name w:val="Balloon Text"/>
    <w:basedOn w:val="1"/>
    <w:link w:val="20"/>
    <w:qFormat/>
    <w:uiPriority w:val="0"/>
    <w:rPr>
      <w:sz w:val="18"/>
      <w:szCs w:val="18"/>
    </w:rPr>
  </w:style>
  <w:style w:type="paragraph" w:styleId="10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Arial Unicode MS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20">
    <w:name w:val="批注框文本 Char"/>
    <w:basedOn w:val="14"/>
    <w:link w:val="9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21">
    <w:name w:val="页眉 Char"/>
    <w:basedOn w:val="14"/>
    <w:link w:val="11"/>
    <w:qFormat/>
    <w:uiPriority w:val="0"/>
    <w:rPr>
      <w:rFonts w:ascii="Times New Roman" w:hAnsi="Times New Roman"/>
      <w:kern w:val="2"/>
      <w:sz w:val="18"/>
      <w:szCs w:val="18"/>
    </w:rPr>
  </w:style>
  <w:style w:type="paragraph" w:styleId="2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3">
    <w:name w:val="正文首行缩进 21"/>
    <w:basedOn w:val="24"/>
    <w:qFormat/>
    <w:uiPriority w:val="0"/>
    <w:pPr>
      <w:spacing w:after="0"/>
      <w:ind w:left="0" w:leftChars="0" w:firstLine="420" w:firstLineChars="200"/>
    </w:pPr>
    <w:rPr>
      <w:sz w:val="36"/>
      <w:szCs w:val="36"/>
    </w:rPr>
  </w:style>
  <w:style w:type="paragraph" w:customStyle="1" w:styleId="24">
    <w:name w:val="正文文本缩进1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3989</Words>
  <Characters>4224</Characters>
  <Lines>34</Lines>
  <Paragraphs>9</Paragraphs>
  <TotalTime>7</TotalTime>
  <ScaleCrop>false</ScaleCrop>
  <LinksUpToDate>false</LinksUpToDate>
  <CharactersWithSpaces>4225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PC</cp:lastModifiedBy>
  <cp:lastPrinted>2006-12-31T23:42:00Z</cp:lastPrinted>
  <dcterms:modified xsi:type="dcterms:W3CDTF">2026-05-25T03:38:38Z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025AF98236D5479095119D65F3FB434A</vt:lpwstr>
  </property>
</Properties>
</file>