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道县教师进修学校</w:t>
      </w: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40" w:lineRule="exact"/>
        <w:jc w:val="center"/>
        <w:rPr>
          <w:sz w:val="56"/>
          <w:szCs w:val="56"/>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道县教师进修学校</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val="en-US" w:eastAsia="zh-CN"/>
        </w:rPr>
        <w:t>及决算单位构成</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default" w:ascii="Times New Roman" w:hAnsi="Times New Roman" w:eastAsia="仿宋_GB2312" w:cs="Times New Roman"/>
          <w:sz w:val="28"/>
          <w:szCs w:val="28"/>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道县教师进修学校</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rPr>
        <w:t>（一）</w:t>
      </w:r>
      <w:r>
        <w:rPr>
          <w:rFonts w:hint="eastAsia" w:asciiTheme="minorEastAsia" w:hAnsiTheme="minorEastAsia"/>
          <w:sz w:val="32"/>
          <w:szCs w:val="32"/>
        </w:rPr>
        <w:t xml:space="preserve">遵循教育规律，加强教育科研，搞好教育改革，加强教师队伍建设，不断提高政治思想素质和业务水平，爱岗敬业，勤奋工作，教书育人，为人师表。 </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sz w:val="32"/>
          <w:szCs w:val="32"/>
        </w:rPr>
        <w:t>（二）</w:t>
      </w:r>
      <w:r>
        <w:rPr>
          <w:rFonts w:hint="eastAsia" w:ascii="宋体" w:hAnsi="宋体" w:eastAsia="宋体" w:cs="宋体"/>
          <w:sz w:val="32"/>
          <w:szCs w:val="32"/>
          <w:lang w:eastAsia="zh-CN"/>
        </w:rPr>
        <w:t>发挥县级教师培训机构职能，承接并高质高效完成道县</w:t>
      </w:r>
      <w:r>
        <w:rPr>
          <w:rFonts w:hint="eastAsia" w:ascii="宋体" w:hAnsi="宋体" w:eastAsia="宋体" w:cs="宋体"/>
          <w:sz w:val="32"/>
          <w:szCs w:val="32"/>
          <w:lang w:val="en-US" w:eastAsia="zh-CN"/>
        </w:rPr>
        <w:t>暑期中小学教师教学能力提升培训和道县民办幼儿园教师的普通话省级抽测等工作任务。</w:t>
      </w:r>
    </w:p>
    <w:p>
      <w:pPr>
        <w:ind w:firstLine="800" w:firstLineChars="250"/>
        <w:jc w:val="left"/>
        <w:rPr>
          <w:rFonts w:hint="eastAsia" w:ascii="宋体" w:hAnsi="宋体" w:eastAsia="宋体" w:cs="宋体"/>
          <w:sz w:val="32"/>
          <w:szCs w:val="32"/>
          <w:lang w:val="en-US" w:eastAsia="zh-CN"/>
        </w:rPr>
      </w:pPr>
      <w:r>
        <w:rPr>
          <w:rFonts w:hint="eastAsia" w:ascii="宋体" w:hAnsi="宋体" w:eastAsia="宋体" w:cs="宋体"/>
          <w:sz w:val="32"/>
          <w:szCs w:val="32"/>
        </w:rPr>
        <w:t>（</w:t>
      </w:r>
      <w:r>
        <w:rPr>
          <w:rFonts w:hint="eastAsia" w:ascii="宋体" w:hAnsi="宋体" w:eastAsia="宋体" w:cs="宋体"/>
          <w:sz w:val="32"/>
          <w:szCs w:val="32"/>
          <w:lang w:eastAsia="zh-CN"/>
        </w:rPr>
        <w:t>三</w:t>
      </w:r>
      <w:r>
        <w:rPr>
          <w:rFonts w:hint="eastAsia" w:ascii="宋体" w:hAnsi="宋体" w:eastAsia="宋体" w:cs="宋体"/>
          <w:sz w:val="32"/>
          <w:szCs w:val="32"/>
        </w:rPr>
        <w:t>）</w:t>
      </w:r>
      <w:r>
        <w:rPr>
          <w:rFonts w:hint="eastAsia" w:ascii="宋体" w:hAnsi="宋体" w:eastAsia="宋体" w:cs="宋体"/>
          <w:sz w:val="32"/>
          <w:szCs w:val="32"/>
          <w:lang w:eastAsia="zh-CN"/>
        </w:rPr>
        <w:t>我校作为永州市开放大学道县分校，承接县委组织部“一村一大”农民大学生招生与教育管理任务，并圆满通过省开放大学对县级分校的教学评估验收。</w:t>
      </w:r>
    </w:p>
    <w:p>
      <w:pPr>
        <w:pStyle w:val="8"/>
        <w:rPr>
          <w:rFonts w:hint="default"/>
          <w:lang w:val="en-US" w:eastAsia="zh-CN"/>
        </w:rPr>
      </w:pPr>
    </w:p>
    <w:p>
      <w:pPr>
        <w:widowControl/>
        <w:spacing w:line="600" w:lineRule="exact"/>
        <w:rPr>
          <w:rFonts w:hint="eastAsia" w:ascii="黑体" w:hAnsi="黑体" w:eastAsia="黑体" w:cs="黑体"/>
          <w:b w:val="0"/>
          <w:bCs/>
          <w:kern w:val="0"/>
          <w:sz w:val="32"/>
          <w:szCs w:val="32"/>
        </w:rPr>
      </w:pPr>
      <w:r>
        <w:rPr>
          <w:rFonts w:hint="eastAsia" w:ascii="Times New Roman" w:hAnsi="Times New Roman" w:eastAsia="仿宋_GB2312" w:cs="仿宋_GB2312"/>
          <w:sz w:val="32"/>
          <w:szCs w:val="32"/>
          <w:lang w:eastAsia="zh-CN"/>
        </w:rPr>
        <w:t>、</w:t>
      </w:r>
      <w:r>
        <w:rPr>
          <w:rFonts w:hint="eastAsia" w:ascii="黑体" w:hAnsi="黑体" w:eastAsia="黑体" w:cs="黑体"/>
          <w:b w:val="0"/>
          <w:bCs/>
          <w:kern w:val="0"/>
          <w:sz w:val="32"/>
          <w:szCs w:val="32"/>
        </w:rPr>
        <w:t>二、机构设置及决算单位构成</w:t>
      </w:r>
    </w:p>
    <w:p>
      <w:pPr>
        <w:widowControl/>
        <w:spacing w:line="600" w:lineRule="exact"/>
        <w:rPr>
          <w:rFonts w:hint="eastAsia" w:ascii="宋体" w:hAnsi="宋体" w:eastAsia="宋体" w:cs="宋体"/>
          <w:bCs/>
          <w:kern w:val="0"/>
          <w:sz w:val="32"/>
          <w:szCs w:val="32"/>
        </w:rPr>
      </w:pPr>
      <w:r>
        <w:rPr>
          <w:rFonts w:hint="eastAsia" w:ascii="Times New Roman" w:hAnsi="Times New Roman" w:eastAsia="仿宋_GB2312" w:cs="仿宋_GB2312"/>
          <w:bCs/>
          <w:kern w:val="0"/>
          <w:sz w:val="32"/>
          <w:szCs w:val="32"/>
        </w:rPr>
        <w:t>（</w:t>
      </w:r>
      <w:r>
        <w:rPr>
          <w:rFonts w:hint="eastAsia" w:ascii="宋体" w:hAnsi="宋体" w:eastAsia="宋体" w:cs="宋体"/>
          <w:bCs/>
          <w:kern w:val="0"/>
          <w:sz w:val="32"/>
          <w:szCs w:val="32"/>
        </w:rPr>
        <w:t>一）内设机构设置。</w:t>
      </w:r>
      <w:r>
        <w:rPr>
          <w:rFonts w:hint="eastAsia" w:ascii="宋体" w:hAnsi="宋体" w:eastAsia="宋体" w:cs="宋体"/>
          <w:bCs/>
          <w:kern w:val="0"/>
          <w:sz w:val="32"/>
          <w:szCs w:val="32"/>
          <w:lang w:eastAsia="zh-CN"/>
        </w:rPr>
        <w:t>道县教师进修学校</w:t>
      </w:r>
      <w:r>
        <w:rPr>
          <w:rFonts w:hint="eastAsia" w:ascii="宋体" w:hAnsi="宋体" w:eastAsia="宋体" w:cs="宋体"/>
          <w:bCs/>
          <w:kern w:val="0"/>
          <w:sz w:val="32"/>
          <w:szCs w:val="32"/>
        </w:rPr>
        <w:t>内设机构包括：我校道县道州北路，部门机构设置为综合部、培训部和后勤部等职能部门。</w:t>
      </w:r>
    </w:p>
    <w:p>
      <w:pPr>
        <w:widowControl/>
        <w:spacing w:line="600" w:lineRule="exact"/>
        <w:rPr>
          <w:rFonts w:hint="eastAsia" w:ascii="宋体" w:hAnsi="宋体" w:eastAsia="宋体" w:cs="宋体"/>
          <w:bCs/>
          <w:kern w:val="0"/>
          <w:sz w:val="32"/>
          <w:szCs w:val="32"/>
          <w:lang w:eastAsia="zh-CN"/>
        </w:rPr>
      </w:pPr>
      <w:r>
        <w:rPr>
          <w:rFonts w:hint="eastAsia" w:ascii="宋体" w:hAnsi="宋体" w:eastAsia="宋体" w:cs="宋体"/>
          <w:bCs/>
          <w:kern w:val="0"/>
          <w:sz w:val="32"/>
          <w:szCs w:val="32"/>
        </w:rPr>
        <w:t>（二）决算单位构成。</w:t>
      </w:r>
      <w:r>
        <w:rPr>
          <w:rFonts w:hint="eastAsia" w:ascii="宋体" w:hAnsi="宋体" w:eastAsia="宋体" w:cs="宋体"/>
          <w:bCs/>
          <w:kern w:val="0"/>
          <w:sz w:val="32"/>
          <w:szCs w:val="32"/>
          <w:lang w:eastAsia="zh-CN"/>
        </w:rPr>
        <w:t>道县教师进修学校</w:t>
      </w:r>
      <w:r>
        <w:rPr>
          <w:rFonts w:hint="eastAsia" w:ascii="宋体" w:hAnsi="宋体" w:eastAsia="宋体" w:cs="宋体"/>
          <w:bCs/>
          <w:kern w:val="0"/>
          <w:sz w:val="32"/>
          <w:szCs w:val="32"/>
        </w:rPr>
        <w:t>202</w:t>
      </w:r>
      <w:r>
        <w:rPr>
          <w:rFonts w:hint="eastAsia" w:ascii="宋体" w:hAnsi="宋体" w:eastAsia="宋体" w:cs="宋体"/>
          <w:bCs/>
          <w:kern w:val="0"/>
          <w:sz w:val="32"/>
          <w:szCs w:val="32"/>
          <w:lang w:val="en-US" w:eastAsia="zh-CN"/>
        </w:rPr>
        <w:t>5</w:t>
      </w:r>
      <w:r>
        <w:rPr>
          <w:rFonts w:hint="eastAsia" w:ascii="宋体" w:hAnsi="宋体" w:eastAsia="宋体" w:cs="宋体"/>
          <w:bCs/>
          <w:kern w:val="0"/>
          <w:sz w:val="32"/>
          <w:szCs w:val="32"/>
        </w:rPr>
        <w:t>年部门决算汇总公开单位构成包括：</w:t>
      </w:r>
      <w:r>
        <w:rPr>
          <w:rFonts w:hint="eastAsia" w:ascii="宋体" w:hAnsi="宋体" w:eastAsia="宋体" w:cs="宋体"/>
          <w:bCs/>
          <w:kern w:val="0"/>
          <w:sz w:val="32"/>
          <w:szCs w:val="32"/>
          <w:lang w:eastAsia="zh-CN"/>
        </w:rPr>
        <w:t>道县教师进修学校</w:t>
      </w:r>
      <w:r>
        <w:rPr>
          <w:rFonts w:hint="eastAsia" w:ascii="宋体" w:hAnsi="宋体" w:eastAsia="宋体" w:cs="宋体"/>
          <w:bCs/>
          <w:kern w:val="0"/>
          <w:sz w:val="32"/>
          <w:szCs w:val="32"/>
        </w:rPr>
        <w:t>本级</w:t>
      </w:r>
      <w:r>
        <w:rPr>
          <w:rFonts w:hint="eastAsia" w:ascii="宋体" w:hAnsi="宋体" w:eastAsia="宋体" w:cs="宋体"/>
          <w:bCs/>
          <w:kern w:val="0"/>
          <w:sz w:val="32"/>
          <w:szCs w:val="32"/>
          <w:lang w:eastAsia="zh-CN"/>
        </w:rPr>
        <w:t>。</w:t>
      </w:r>
    </w:p>
    <w:p>
      <w:pPr>
        <w:jc w:val="left"/>
        <w:rPr>
          <w:rFonts w:ascii="仿宋_GB2312" w:eastAsia="仿宋_GB2312" w:hAnsiTheme="minorEastAsia"/>
          <w:sz w:val="28"/>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pStyle w:val="14"/>
        <w:jc w:val="both"/>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5428" w:type="dxa"/>
        <w:tblInd w:w="0" w:type="dxa"/>
        <w:tblLayout w:type="fixed"/>
        <w:tblCellMar>
          <w:top w:w="0" w:type="dxa"/>
          <w:left w:w="0" w:type="dxa"/>
          <w:bottom w:w="0" w:type="dxa"/>
          <w:right w:w="0" w:type="dxa"/>
        </w:tblCellMar>
      </w:tblPr>
      <w:tblGrid>
        <w:gridCol w:w="56"/>
        <w:gridCol w:w="901"/>
        <w:gridCol w:w="3058"/>
        <w:gridCol w:w="1770"/>
        <w:gridCol w:w="1770"/>
        <w:gridCol w:w="1413"/>
        <w:gridCol w:w="1413"/>
        <w:gridCol w:w="1413"/>
        <w:gridCol w:w="1414"/>
        <w:gridCol w:w="2220"/>
      </w:tblGrid>
      <w:tr>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9"/>
              <w:tblW w:w="14896"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78"/>
              <w:gridCol w:w="594"/>
              <w:gridCol w:w="1409"/>
              <w:gridCol w:w="5075"/>
              <w:gridCol w:w="1142"/>
              <w:gridCol w:w="447"/>
              <w:gridCol w:w="448"/>
              <w:gridCol w:w="18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582" w:type="dxa"/>
                  <w:tcBorders>
                    <w:top w:val="nil"/>
                    <w:left w:val="nil"/>
                    <w:bottom w:val="nil"/>
                    <w:right w:val="nil"/>
                  </w:tcBorders>
                  <w:shd w:val="clear" w:color="auto" w:fill="auto"/>
                  <w:noWrap/>
                  <w:vAlign w:val="center"/>
                </w:tcPr>
                <w:p>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438"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5193" w:type="dxa"/>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196" w:type="dxa"/>
                  <w:gridSpan w:val="2"/>
                  <w:tcBorders>
                    <w:top w:val="nil"/>
                    <w:left w:val="nil"/>
                    <w:bottom w:val="nil"/>
                    <w:right w:val="nil"/>
                  </w:tcBorders>
                  <w:shd w:val="clear" w:color="auto" w:fill="auto"/>
                  <w:noWrap/>
                  <w:vAlign w:val="center"/>
                </w:tcPr>
                <w:p>
                  <w:pPr>
                    <w:jc w:val="right"/>
                    <w:rPr>
                      <w:rFonts w:hint="eastAsia" w:ascii="宋体" w:hAnsi="宋体" w:eastAsia="宋体" w:cs="宋体"/>
                      <w:i w:val="0"/>
                      <w:color w:val="000000"/>
                      <w:sz w:val="24"/>
                      <w:szCs w:val="24"/>
                      <w:u w:val="none"/>
                    </w:rPr>
                  </w:pPr>
                </w:p>
              </w:tc>
              <w:tc>
                <w:tcPr>
                  <w:tcW w:w="1897" w:type="dxa"/>
                  <w:gridSpan w:val="2"/>
                  <w:tcBorders>
                    <w:top w:val="nil"/>
                    <w:left w:val="nil"/>
                    <w:bottom w:val="nil"/>
                    <w:right w:val="nil"/>
                  </w:tcBorders>
                  <w:shd w:val="clear" w:color="auto" w:fill="auto"/>
                  <w:noWrap/>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60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110"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315.15</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315.15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315.15</w:t>
                  </w: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315.15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315.15</w:t>
                  </w:r>
                </w:p>
              </w:tc>
              <w:tc>
                <w:tcPr>
                  <w:tcW w:w="503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315.15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pStyle w:val="8"/>
                    <w:rPr>
                      <w:rFonts w:hint="eastAsia"/>
                      <w:lang w:val="en-US" w:eastAsia="zh-CN"/>
                    </w:rPr>
                  </w:pPr>
                </w:p>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5" w:hRule="atLeast"/>
        </w:trPr>
        <w:tc>
          <w:tcPr>
            <w:tcW w:w="5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901"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305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85" w:hRule="atLeast"/>
        </w:trPr>
        <w:tc>
          <w:tcPr>
            <w:tcW w:w="957"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3058"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41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450" w:hRule="atLeast"/>
        </w:trPr>
        <w:tc>
          <w:tcPr>
            <w:tcW w:w="4015"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77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77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4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4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41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4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2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CellMar>
            <w:top w:w="0" w:type="dxa"/>
            <w:left w:w="0" w:type="dxa"/>
            <w:bottom w:w="0" w:type="dxa"/>
            <w:right w:w="0" w:type="dxa"/>
          </w:tblCellMar>
        </w:tblPrEx>
        <w:trPr>
          <w:trHeight w:val="450" w:hRule="atLeast"/>
        </w:trPr>
        <w:tc>
          <w:tcPr>
            <w:tcW w:w="957"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305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957"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3058"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1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2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450" w:hRule="atLeast"/>
        </w:trPr>
        <w:tc>
          <w:tcPr>
            <w:tcW w:w="4015"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7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77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4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4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4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4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2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450" w:hRule="atLeast"/>
        </w:trPr>
        <w:tc>
          <w:tcPr>
            <w:tcW w:w="4015"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315.15</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315.15</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5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default" w:ascii="宋体" w:hAnsi="宋体" w:cs="宋体" w:eastAsiaTheme="minorEastAsia"/>
                <w:sz w:val="24"/>
                <w:szCs w:val="24"/>
                <w:lang w:val="en-US" w:eastAsia="zh-CN"/>
              </w:rPr>
            </w:pPr>
            <w:r>
              <w:rPr>
                <w:rFonts w:hint="eastAsia"/>
                <w:lang w:val="en-US" w:eastAsia="zh-CN"/>
              </w:rPr>
              <w:t>2050399</w:t>
            </w:r>
          </w:p>
        </w:tc>
        <w:tc>
          <w:tcPr>
            <w:tcW w:w="30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eastAsia" w:ascii="宋体" w:hAnsi="宋体" w:cs="宋体" w:eastAsiaTheme="minorEastAsia"/>
                <w:sz w:val="24"/>
                <w:szCs w:val="24"/>
                <w:lang w:eastAsia="zh-CN"/>
              </w:rPr>
            </w:pPr>
            <w:r>
              <w:rPr>
                <w:rFonts w:hint="eastAsia"/>
              </w:rPr>
              <w:t>　</w:t>
            </w:r>
            <w:r>
              <w:rPr>
                <w:rFonts w:hint="eastAsia"/>
                <w:lang w:eastAsia="zh-CN"/>
              </w:rPr>
              <w:t>其他职业教育支出</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ascii="宋体" w:hAnsi="宋体" w:eastAsia="宋体" w:cs="宋体"/>
                <w:i w:val="0"/>
                <w:color w:val="000000"/>
                <w:sz w:val="22"/>
                <w:szCs w:val="22"/>
                <w:u w:val="none"/>
                <w:lang w:val="en-US" w:eastAsia="zh-CN"/>
              </w:rPr>
              <w:t>315.15</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315.15</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5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30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华文中宋" w:hAnsi="华文中宋" w:eastAsia="华文中宋" w:cs="宋体"/>
                <w:sz w:val="24"/>
                <w:szCs w:val="24"/>
              </w:rPr>
            </w:pPr>
            <w:r>
              <w:rPr>
                <w:rFonts w:hint="eastAsia" w:ascii="华文中宋" w:hAnsi="华文中宋" w:eastAsia="华文中宋"/>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5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30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5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30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5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30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450" w:hRule="atLeast"/>
        </w:trPr>
        <w:tc>
          <w:tcPr>
            <w:tcW w:w="95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305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77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2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9"/>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i w:val="0"/>
                <w:color w:val="000000"/>
                <w:sz w:val="22"/>
                <w:szCs w:val="22"/>
                <w:u w:val="none"/>
                <w:lang w:val="en-US" w:eastAsia="zh-CN"/>
              </w:rPr>
              <w:t>315.15</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lang w:val="en-US" w:eastAsia="zh-CN" w:bidi="ar-SA"/>
              </w:rPr>
            </w:pPr>
            <w:r>
              <w:rPr>
                <w:rFonts w:hint="eastAsia" w:ascii="宋体" w:hAnsi="宋体" w:eastAsia="宋体" w:cs="宋体"/>
                <w:i w:val="0"/>
                <w:color w:val="000000"/>
                <w:sz w:val="22"/>
                <w:szCs w:val="22"/>
                <w:u w:val="none"/>
                <w:lang w:val="en-US" w:eastAsia="zh-CN"/>
              </w:rPr>
              <w:t>315.15</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hint="default" w:ascii="宋体" w:hAnsi="宋体" w:eastAsia="宋体" w:cs="宋体"/>
                <w:kern w:val="0"/>
                <w:sz w:val="24"/>
                <w:szCs w:val="24"/>
                <w:lang w:val="en-US"/>
              </w:rPr>
            </w:pPr>
            <w:r>
              <w:rPr>
                <w:rFonts w:hint="eastAsia"/>
                <w:lang w:val="en-US" w:eastAsia="zh-CN"/>
              </w:rPr>
              <w:t>2050399</w:t>
            </w:r>
          </w:p>
        </w:tc>
        <w:tc>
          <w:tcPr>
            <w:tcW w:w="1481" w:type="dxa"/>
            <w:tcBorders>
              <w:top w:val="nil"/>
              <w:left w:val="nil"/>
              <w:bottom w:val="single" w:color="auto" w:sz="4" w:space="0"/>
              <w:right w:val="single" w:color="auto" w:sz="4" w:space="0"/>
            </w:tcBorders>
            <w:shd w:val="clear" w:color="000000" w:fill="FFFFFF"/>
            <w:noWrap/>
            <w:vAlign w:val="center"/>
          </w:tcPr>
          <w:p>
            <w:pPr>
              <w:rPr>
                <w:rFonts w:ascii="宋体" w:hAnsi="宋体" w:eastAsia="宋体" w:cs="宋体"/>
                <w:kern w:val="0"/>
                <w:sz w:val="24"/>
                <w:szCs w:val="24"/>
              </w:rPr>
            </w:pPr>
            <w:r>
              <w:rPr>
                <w:rFonts w:hint="eastAsia"/>
                <w:lang w:eastAsia="zh-CN"/>
              </w:rPr>
              <w:t>其他职业教育支出</w:t>
            </w:r>
          </w:p>
        </w:tc>
        <w:tc>
          <w:tcPr>
            <w:tcW w:w="1952" w:type="dxa"/>
            <w:tcBorders>
              <w:top w:val="nil"/>
              <w:left w:val="nil"/>
              <w:bottom w:val="single" w:color="auto" w:sz="4" w:space="0"/>
              <w:right w:val="single" w:color="auto" w:sz="4" w:space="0"/>
            </w:tcBorders>
            <w:shd w:val="clear" w:color="auto" w:fill="auto"/>
            <w:noWrap/>
            <w:vAlign w:val="center"/>
          </w:tcPr>
          <w:p>
            <w:pPr>
              <w:jc w:val="center"/>
              <w:rPr>
                <w:rFonts w:hint="default" w:ascii="宋体" w:hAnsi="宋体" w:eastAsia="宋体" w:cs="宋体"/>
                <w:kern w:val="0"/>
                <w:sz w:val="24"/>
                <w:szCs w:val="24"/>
                <w:lang w:val="en-US"/>
              </w:rPr>
            </w:pPr>
            <w:r>
              <w:rPr>
                <w:rFonts w:hint="eastAsia" w:ascii="宋体" w:hAnsi="宋体" w:eastAsia="宋体" w:cs="宋体"/>
                <w:i w:val="0"/>
                <w:color w:val="000000"/>
                <w:sz w:val="22"/>
                <w:szCs w:val="22"/>
                <w:u w:val="none"/>
                <w:lang w:val="en-US" w:eastAsia="zh-CN"/>
              </w:rPr>
              <w:t>315.15</w:t>
            </w:r>
          </w:p>
        </w:tc>
        <w:tc>
          <w:tcPr>
            <w:tcW w:w="1991" w:type="dxa"/>
            <w:tcBorders>
              <w:top w:val="nil"/>
              <w:left w:val="nil"/>
              <w:bottom w:val="single" w:color="auto" w:sz="4" w:space="0"/>
              <w:right w:val="single" w:color="auto" w:sz="4" w:space="0"/>
            </w:tcBorders>
            <w:shd w:val="clear" w:color="auto" w:fill="auto"/>
            <w:noWrap/>
            <w:vAlign w:val="center"/>
          </w:tcPr>
          <w:p>
            <w:pPr>
              <w:jc w:val="center"/>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315.15</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315.15</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szCs w:val="22"/>
                <w:lang w:val="en-US" w:eastAsia="zh-CN" w:bidi="ar-SA"/>
              </w:rPr>
            </w:pPr>
            <w:r>
              <w:rPr>
                <w:rFonts w:hint="eastAsia" w:ascii="宋体" w:hAnsi="宋体" w:eastAsia="宋体" w:cs="宋体"/>
                <w:i w:val="0"/>
                <w:color w:val="000000"/>
                <w:sz w:val="22"/>
                <w:szCs w:val="22"/>
                <w:u w:val="none"/>
                <w:lang w:val="en-US" w:eastAsia="zh-CN"/>
              </w:rPr>
              <w:t>315.15</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2050399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其他职业教育支出</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宋体" w:hAnsi="宋体" w:eastAsia="宋体" w:cs="宋体"/>
                <w:i w:val="0"/>
                <w:color w:val="000000"/>
                <w:sz w:val="22"/>
                <w:szCs w:val="22"/>
                <w:u w:val="none"/>
                <w:lang w:val="en-US" w:eastAsia="zh-CN"/>
              </w:rPr>
              <w:t>315.15</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宋体" w:hAnsi="宋体" w:eastAsia="宋体" w:cs="宋体"/>
                <w:i w:val="0"/>
                <w:color w:val="000000"/>
                <w:sz w:val="22"/>
                <w:szCs w:val="22"/>
                <w:u w:val="none"/>
                <w:lang w:val="en-US" w:eastAsia="zh-CN"/>
              </w:rPr>
              <w:t>315.15</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fixed"/>
        <w:tblCellMar>
          <w:top w:w="0" w:type="dxa"/>
          <w:left w:w="108" w:type="dxa"/>
          <w:bottom w:w="0" w:type="dxa"/>
          <w:right w:w="108" w:type="dxa"/>
        </w:tblCellMar>
      </w:tblPr>
      <w:tblGrid>
        <w:gridCol w:w="963"/>
        <w:gridCol w:w="239"/>
        <w:gridCol w:w="91"/>
        <w:gridCol w:w="1251"/>
        <w:gridCol w:w="1965"/>
        <w:gridCol w:w="85"/>
        <w:gridCol w:w="829"/>
        <w:gridCol w:w="1171"/>
        <w:gridCol w:w="296"/>
        <w:gridCol w:w="1914"/>
        <w:gridCol w:w="142"/>
        <w:gridCol w:w="672"/>
        <w:gridCol w:w="1172"/>
        <w:gridCol w:w="343"/>
        <w:gridCol w:w="2023"/>
        <w:gridCol w:w="1642"/>
        <w:gridCol w:w="495"/>
        <w:gridCol w:w="321"/>
      </w:tblGrid>
      <w:tr>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3" w:hRule="atLeast"/>
        </w:trPr>
        <w:tc>
          <w:tcPr>
            <w:tcW w:w="129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1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1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1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08"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16"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283.35</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29.1804</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156.79</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13.750</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3.98</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eastAsia="zh-CN"/>
              </w:rPr>
            </w:pP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3.91</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25.33</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28.77</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6.67</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15.12</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1.56</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2.98</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18.64</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1.16</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22.58</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2.622</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0.13</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2.622</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0.96</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4.74</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5.37</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0.21</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1293" w:type="dxa"/>
            <w:gridSpan w:val="3"/>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2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71"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10"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8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p>
        </w:tc>
        <w:tc>
          <w:tcPr>
            <w:tcW w:w="1172"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4008" w:type="dxa"/>
            <w:gridSpan w:val="3"/>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CellMar>
            <w:top w:w="0" w:type="dxa"/>
            <w:left w:w="108" w:type="dxa"/>
            <w:bottom w:w="0" w:type="dxa"/>
            <w:right w:w="108" w:type="dxa"/>
          </w:tblCellMar>
        </w:tblPrEx>
        <w:trPr>
          <w:trHeight w:val="284" w:hRule="exact"/>
        </w:trPr>
        <w:tc>
          <w:tcPr>
            <w:tcW w:w="450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914"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285.97</w:t>
            </w:r>
          </w:p>
        </w:tc>
        <w:tc>
          <w:tcPr>
            <w:tcW w:w="9375" w:type="dxa"/>
            <w:gridSpan w:val="9"/>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16" w:type="dxa"/>
            <w:gridSpan w:val="2"/>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29.180</w:t>
            </w:r>
          </w:p>
        </w:tc>
      </w:tr>
      <w:tr>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690" w:hRule="atLeast"/>
        </w:trPr>
        <w:tc>
          <w:tcPr>
            <w:tcW w:w="15293"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345" w:hRule="atLeast"/>
        </w:trPr>
        <w:tc>
          <w:tcPr>
            <w:tcW w:w="96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4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5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9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5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87"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2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37"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690" w:hRule="atLeast"/>
        </w:trPr>
        <w:tc>
          <w:tcPr>
            <w:tcW w:w="963"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39"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342"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05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296"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56"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87"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023"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37"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459" w:hRule="atLeast"/>
        </w:trPr>
        <w:tc>
          <w:tcPr>
            <w:tcW w:w="25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05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6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609" w:hRule="atLeast"/>
        </w:trPr>
        <w:tc>
          <w:tcPr>
            <w:tcW w:w="120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0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409" w:hRule="atLeast"/>
        </w:trPr>
        <w:tc>
          <w:tcPr>
            <w:tcW w:w="12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120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25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25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1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1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1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1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1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509" w:hRule="atLeast"/>
        </w:trPr>
        <w:tc>
          <w:tcPr>
            <w:tcW w:w="1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3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321" w:type="dxa"/>
          <w:trHeight w:val="725" w:hRule="atLeast"/>
        </w:trPr>
        <w:tc>
          <w:tcPr>
            <w:tcW w:w="15293"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说明：我单位没有使用国有资本经营预算安排的支出，故本表无数据。（当表格数据为空时，应有此说明）</w:t>
            </w:r>
          </w:p>
        </w:tc>
      </w:tr>
    </w:tbl>
    <w:p>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9.77万</w:t>
      </w:r>
      <w:r>
        <w:rPr>
          <w:rFonts w:hint="eastAsia" w:ascii="Times New Roman" w:hAnsi="Times New Roman" w:eastAsia="仿宋_GB2312"/>
          <w:sz w:val="32"/>
          <w:szCs w:val="32"/>
        </w:rPr>
        <w:t>元，增长</w:t>
      </w:r>
      <w:r>
        <w:rPr>
          <w:rFonts w:hint="eastAsia" w:ascii="Times New Roman" w:hAnsi="Times New Roman" w:eastAsia="仿宋_GB2312"/>
          <w:sz w:val="32"/>
          <w:szCs w:val="32"/>
          <w:lang w:val="en-US" w:eastAsia="zh-CN"/>
        </w:rPr>
        <w:t>3.2</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本年度对工资福利支出增加。</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万元，其中：</w:t>
      </w:r>
      <w:r>
        <w:rPr>
          <w:rFonts w:hint="eastAsia" w:ascii="Times New Roman" w:hAnsi="Times New Roman" w:eastAsia="仿宋_GB2312"/>
          <w:sz w:val="32"/>
          <w:szCs w:val="32"/>
          <w:lang w:val="en-US" w:eastAsia="zh-CN"/>
        </w:rPr>
        <w:t>基本</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4"/>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9.77</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3.2</w:t>
      </w:r>
      <w:r>
        <w:rPr>
          <w:rFonts w:hint="eastAsia" w:ascii="Times New Roman" w:hAnsi="Times New Roman" w:eastAsia="仿宋_GB2312"/>
          <w:sz w:val="32"/>
          <w:szCs w:val="32"/>
        </w:rPr>
        <w:t>%，主要</w:t>
      </w:r>
      <w:r>
        <w:rPr>
          <w:rFonts w:hint="eastAsia" w:ascii="Times New Roman" w:hAnsi="Times New Roman" w:eastAsia="仿宋_GB2312"/>
          <w:sz w:val="32"/>
          <w:szCs w:val="32"/>
          <w:lang w:val="en-US" w:eastAsia="zh-CN"/>
        </w:rPr>
        <w:t>是本年度对工资福利支出增加。</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9.77</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3.2</w:t>
      </w:r>
      <w:r>
        <w:rPr>
          <w:rFonts w:hint="eastAsia" w:ascii="Times New Roman" w:hAnsi="Times New Roman" w:eastAsia="仿宋_GB2312"/>
          <w:sz w:val="32"/>
          <w:szCs w:val="32"/>
        </w:rPr>
        <w:t>%，主要是</w:t>
      </w:r>
      <w:r>
        <w:rPr>
          <w:rFonts w:hint="eastAsia" w:ascii="Times New Roman" w:hAnsi="Times New Roman" w:eastAsia="仿宋_GB2312"/>
          <w:sz w:val="32"/>
          <w:szCs w:val="32"/>
          <w:lang w:val="en-US" w:eastAsia="zh-CN"/>
        </w:rPr>
        <w:t>本年度对工资福利支出增加。</w:t>
      </w:r>
    </w:p>
    <w:p>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%；教育（类）支出</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326.16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315.15万</w:t>
      </w:r>
      <w:r>
        <w:rPr>
          <w:rFonts w:hint="eastAsia" w:ascii="Times New Roman" w:hAnsi="Times New Roman" w:eastAsia="仿宋_GB2312"/>
          <w:sz w:val="32"/>
          <w:szCs w:val="32"/>
        </w:rPr>
        <w:t>元，完成年初预算的</w:t>
      </w:r>
      <w:r>
        <w:rPr>
          <w:rFonts w:hint="eastAsia" w:ascii="Times New Roman" w:hAnsi="Times New Roman" w:eastAsia="仿宋_GB2312"/>
          <w:sz w:val="32"/>
          <w:szCs w:val="32"/>
          <w:lang w:val="en-US" w:eastAsia="zh-CN"/>
        </w:rPr>
        <w:t>96.62</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w:t>
      </w:r>
      <w:r>
        <w:rPr>
          <w:rFonts w:hint="eastAsia" w:ascii="Times New Roman" w:hAnsi="Times New Roman" w:eastAsia="仿宋_GB2312"/>
          <w:sz w:val="32"/>
          <w:szCs w:val="32"/>
          <w:lang w:val="en-US" w:eastAsia="zh-CN"/>
        </w:rPr>
        <w:t>教育支出中等职业教育</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326.16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96.62</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原计划项目因政策原因调整，从而减少了相应的支出。</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315.15</w:t>
      </w:r>
      <w:r>
        <w:rPr>
          <w:rFonts w:hint="eastAsia" w:ascii="Times New Roman" w:hAnsi="Times New Roman" w:eastAsia="仿宋_GB2312"/>
          <w:sz w:val="32"/>
          <w:szCs w:val="32"/>
        </w:rPr>
        <w:t>万元，其中：</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285.97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90.74</w:t>
      </w:r>
      <w:r>
        <w:rPr>
          <w:rFonts w:hint="eastAsia" w:ascii="Times New Roman" w:hAnsi="Times New Roman" w:eastAsia="仿宋_GB2312"/>
          <w:sz w:val="32"/>
          <w:szCs w:val="32"/>
        </w:rPr>
        <w:t>%,主要包括基本工资、津贴补贴、</w:t>
      </w:r>
      <w:r>
        <w:rPr>
          <w:rFonts w:hint="eastAsia" w:ascii="Times New Roman" w:hAnsi="Times New Roman" w:eastAsia="仿宋_GB2312"/>
          <w:sz w:val="32"/>
          <w:szCs w:val="32"/>
          <w:lang w:val="en-US" w:eastAsia="zh-CN"/>
        </w:rPr>
        <w:t>绩效工资</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机关事业单位基本养老保险缴费、职工医疗保险缴费、住房公积金</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29.18</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9.26</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邮电费、维护费、差旅费、培训费、劳务费、工会经费等</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截止202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万元，比年初预算数（或者上年决算数）增加（减少）</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万元，增长（降低）</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本部门无机关运行费用。</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4"/>
        <w:ind w:firstLine="640" w:firstLineChars="200"/>
        <w:rPr>
          <w:rFonts w:asciiTheme="minorEastAsia" w:hAnsiTheme="minorEastAsia" w:eastAsiaTheme="minorEastAsia"/>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万元，用于开展</w:t>
      </w:r>
      <w:r>
        <w:rPr>
          <w:rFonts w:hint="eastAsia" w:ascii="Times New Roman" w:hAnsi="Times New Roman" w:eastAsia="仿宋_GB2312"/>
          <w:sz w:val="32"/>
          <w:szCs w:val="32"/>
          <w:lang w:val="en-US" w:eastAsia="zh-CN"/>
        </w:rPr>
        <w:t>普通话</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国家培训及各科老师分科培训等</w:t>
      </w:r>
      <w:r>
        <w:rPr>
          <w:rFonts w:hint="eastAsia" w:ascii="Times New Roman" w:hAnsi="Times New Roman" w:eastAsia="仿宋_GB2312"/>
          <w:sz w:val="32"/>
          <w:szCs w:val="32"/>
        </w:rPr>
        <w:t>，内容为</w:t>
      </w:r>
      <w:r>
        <w:rPr>
          <w:rFonts w:hint="eastAsia" w:ascii="Times New Roman" w:hAnsi="Times New Roman" w:eastAsia="仿宋_GB2312"/>
          <w:sz w:val="32"/>
          <w:szCs w:val="32"/>
          <w:lang w:val="en-US" w:eastAsia="zh-CN"/>
        </w:rPr>
        <w:t>包括会场租金、住宿费和餐费等和我校召开的以全县性质的教师培训工作为中心展开的会议支出，如资料费等等</w:t>
      </w:r>
      <w:r>
        <w:rPr>
          <w:rFonts w:hint="eastAsia" w:ascii="Times New Roman" w:hAnsi="Times New Roman" w:eastAsia="仿宋_GB2312"/>
          <w:sz w:val="32"/>
          <w:szCs w:val="32"/>
        </w:rPr>
        <w:t>。（注：三类会议、培训活动，节庆、晚会、论坛、赛事等活动，请分项列明活动计划及经费预算情况）</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 xml:space="preserve"> 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授予中小企业合同金额</w:t>
      </w:r>
      <w:r>
        <w:rPr>
          <w:rFonts w:hint="eastAsia" w:ascii="Times New Roman" w:hAnsi="Times New Roman" w:eastAsia="仿宋_GB2312"/>
          <w:sz w:val="32"/>
          <w:szCs w:val="32"/>
        </w:rPr>
        <w:t>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学校成立绩效管理领导小组，明确职责分工，确保工作推进，根据学校实际确定考核指标。</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rPr>
        <w:t>根据预算绩效管理要求，我部门组织对</w:t>
      </w:r>
      <w:r>
        <w:rPr>
          <w:rFonts w:hint="eastAsia" w:ascii="Times New Roman" w:hAnsi="Times New Roman" w:eastAsia="仿宋_GB2312"/>
          <w:color w:val="auto"/>
          <w:sz w:val="32"/>
          <w:szCs w:val="32"/>
          <w:lang w:val="en-US" w:eastAsia="zh-CN"/>
        </w:rPr>
        <w:t>2025</w:t>
      </w:r>
      <w:r>
        <w:rPr>
          <w:rFonts w:hint="eastAsia" w:ascii="Times New Roman" w:hAnsi="Times New Roman" w:eastAsia="仿宋_GB2312"/>
          <w:color w:val="auto"/>
          <w:sz w:val="32"/>
          <w:szCs w:val="32"/>
        </w:rPr>
        <w:t>年度一般公共预算项目支出全面开展绩效自评，其中，</w:t>
      </w:r>
      <w:r>
        <w:rPr>
          <w:rFonts w:hint="eastAsia" w:ascii="Times New Roman" w:hAnsi="Times New Roman" w:eastAsia="仿宋_GB2312"/>
          <w:color w:val="auto"/>
          <w:sz w:val="32"/>
          <w:szCs w:val="32"/>
          <w:lang w:val="en-US" w:eastAsia="zh-CN"/>
        </w:rPr>
        <w:t>2025</w:t>
      </w:r>
      <w:r>
        <w:rPr>
          <w:rFonts w:hint="eastAsia" w:ascii="Times New Roman" w:hAnsi="Times New Roman" w:eastAsia="仿宋_GB2312"/>
          <w:color w:val="auto"/>
          <w:sz w:val="32"/>
          <w:szCs w:val="32"/>
        </w:rPr>
        <w:t>年我单位推行部门整体和20万元以上项目绩效目标全覆盖，涉及一般公共预算拨款</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万元，其中20万以上项目绩效目标</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个,涉及一般公共预算拨款</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可以从预算和预算绩效管理，部门履职效能，资金分配、使用和管理，资产和财务管理、政府采购等方面归纳存在的问题；反映各种预算支出执行偏离绩效目标的情况，并分析其原因。</w:t>
      </w:r>
    </w:p>
    <w:p>
      <w:pPr>
        <w:pStyle w:val="14"/>
        <w:jc w:val="both"/>
        <w:rPr>
          <w:sz w:val="72"/>
          <w:szCs w:val="72"/>
        </w:rPr>
      </w:pP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4"/>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一、“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4"/>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二、教育支出（类）职业教育（款）中等职业教育（项）：反映各部门（不含人力资源社会保障部门）举办的中等职业教育支出。政府各部门对社会组织等举办的中等职业学校的资助，如捐赠、补贴等，也在本科目中反映。</w:t>
      </w:r>
    </w:p>
    <w:p>
      <w:pPr>
        <w:pStyle w:val="14"/>
        <w:ind w:firstLine="640" w:firstLineChars="200"/>
        <w:rPr>
          <w:sz w:val="72"/>
          <w:szCs w:val="72"/>
        </w:rPr>
      </w:pPr>
      <w:r>
        <w:rPr>
          <w:rFonts w:hint="eastAsia" w:asciiTheme="minorEastAsia" w:hAnsiTheme="minorEastAsia" w:eastAsiaTheme="minorEastAsia"/>
          <w:sz w:val="32"/>
          <w:szCs w:val="32"/>
        </w:rPr>
        <w:t>三、社会保障和就业支出（类）抚恤（款）死亡抚恤（项）:反映按规定用于烈士和牺牲、病故人员家属的一次性和定期 抚恤金、丧葬补助费以及烈士褒扬金。</w:t>
      </w: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pStyle w:val="14"/>
        <w:jc w:val="center"/>
        <w:rPr>
          <w:sz w:val="72"/>
          <w:szCs w:val="72"/>
        </w:rPr>
      </w:pPr>
    </w:p>
    <w:p>
      <w:pPr>
        <w:rPr>
          <w:sz w:val="72"/>
          <w:szCs w:val="72"/>
        </w:rPr>
      </w:pPr>
      <w:r>
        <w:rPr>
          <w:sz w:val="72"/>
          <w:szCs w:val="72"/>
        </w:rPr>
        <w:br w:type="page"/>
      </w: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jc w:val="center"/>
        <w:rPr>
          <w:rFonts w:hint="eastAsia"/>
          <w:b/>
          <w:bCs/>
          <w:sz w:val="44"/>
          <w:szCs w:val="44"/>
        </w:rPr>
      </w:pPr>
      <w:r>
        <w:rPr>
          <w:rFonts w:hint="eastAsia"/>
          <w:b/>
          <w:bCs/>
          <w:sz w:val="44"/>
          <w:szCs w:val="44"/>
          <w:lang w:val="en-US" w:eastAsia="zh-CN"/>
        </w:rPr>
        <w:t>道县教师进修学校</w:t>
      </w:r>
      <w:r>
        <w:rPr>
          <w:rFonts w:hint="eastAsia"/>
          <w:b/>
          <w:bCs/>
          <w:sz w:val="44"/>
          <w:szCs w:val="44"/>
        </w:rPr>
        <w:t>绩效自评报告</w:t>
      </w:r>
    </w:p>
    <w:p>
      <w:pPr>
        <w:spacing w:line="570" w:lineRule="atLeast"/>
        <w:ind w:firstLine="420" w:firstLineChars="200"/>
        <w:rPr>
          <w:rFonts w:hint="eastAsia" w:ascii="仿宋_GB2312" w:hAnsi="仿宋_GB2312" w:eastAsia="仿宋_GB2312" w:cs="仿宋_GB2312"/>
          <w:color w:val="000000"/>
          <w:sz w:val="32"/>
          <w:szCs w:val="32"/>
          <w:shd w:val="clear" w:color="auto" w:fill="FFFFFF"/>
        </w:rPr>
      </w:pPr>
      <w:r>
        <w:rPr>
          <w:rFonts w:hint="eastAsia"/>
          <w:szCs w:val="40"/>
        </w:rPr>
        <w:t xml:space="preserve"> </w:t>
      </w:r>
      <w:r>
        <w:rPr>
          <w:rFonts w:hint="eastAsia"/>
        </w:rPr>
        <w:t xml:space="preserve">  </w:t>
      </w:r>
      <w:r>
        <w:rPr>
          <w:rFonts w:hint="eastAsia" w:ascii="仿宋_GB2312" w:hAnsi="仿宋_GB2312" w:eastAsia="仿宋_GB2312" w:cs="仿宋_GB2312"/>
          <w:color w:val="000000"/>
          <w:sz w:val="32"/>
          <w:szCs w:val="32"/>
          <w:shd w:val="clear" w:color="auto" w:fill="FFFFFF"/>
        </w:rPr>
        <w:t>一、基本情况</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（一）部门（单位）基本情况</w:t>
      </w:r>
    </w:p>
    <w:p>
      <w:pPr>
        <w:spacing w:line="570" w:lineRule="atLeast"/>
        <w:ind w:firstLine="640" w:firstLineChars="20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道县教师进修学校是一所集中职、教师业务培训坚持教书育人、管理育人，坚持学校教育、家庭教育和社会教育相结合，以全面贯彻党的教育方针，全面实施素质教育为办学目标。</w:t>
      </w:r>
    </w:p>
    <w:p>
      <w:pPr>
        <w:numPr>
          <w:ilvl w:val="0"/>
          <w:numId w:val="2"/>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一般公共预算支出情况</w:t>
      </w:r>
    </w:p>
    <w:p>
      <w:pPr>
        <w:spacing w:line="570" w:lineRule="atLeast"/>
        <w:ind w:firstLine="640" w:firstLineChars="200"/>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lang w:val="en-US" w:eastAsia="zh-CN"/>
        </w:rPr>
        <w:t>年度预算申请金额：2025年本单位收入预算326.16万元，支出预算326.16万元。</w:t>
      </w:r>
    </w:p>
    <w:p>
      <w:pPr>
        <w:spacing w:line="570" w:lineRule="atLeast"/>
        <w:rPr>
          <w:rFonts w:hint="eastAsia" w:ascii="仿宋_GB2312" w:hAnsi="仿宋_GB2312" w:eastAsia="仿宋_GB2312" w:cs="仿宋_GB2312"/>
          <w:color w:val="000000"/>
          <w:sz w:val="32"/>
          <w:szCs w:val="32"/>
          <w:shd w:val="clear" w:color="auto" w:fill="FFFFFF"/>
          <w:lang w:val="en-US" w:eastAsia="zh-CN"/>
        </w:rPr>
      </w:pPr>
      <w:r>
        <w:rPr>
          <w:rFonts w:eastAsia="仿宋_GB2312"/>
          <w:b/>
          <w:sz w:val="32"/>
          <w:szCs w:val="32"/>
        </w:rPr>
        <w:t>（一）</w:t>
      </w:r>
      <w:r>
        <w:rPr>
          <w:rFonts w:hint="eastAsia" w:ascii="仿宋_GB2312" w:hAnsi="仿宋_GB2312" w:eastAsia="仿宋_GB2312" w:cs="仿宋_GB2312"/>
          <w:color w:val="000000"/>
          <w:sz w:val="32"/>
          <w:szCs w:val="32"/>
          <w:shd w:val="clear" w:color="auto" w:fill="FFFFFF"/>
          <w:lang w:val="en-US" w:eastAsia="zh-CN"/>
        </w:rPr>
        <w:t>基本支出情况</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ascii="仿宋_GB2312" w:hAnsi="仿宋_GB2312" w:eastAsia="仿宋_GB2312" w:cs="仿宋_GB2312"/>
          <w:color w:val="000000"/>
          <w:sz w:val="32"/>
          <w:szCs w:val="32"/>
          <w:shd w:val="clear" w:color="auto" w:fill="FFFFFF"/>
        </w:rPr>
        <w:t>年本</w:t>
      </w:r>
      <w:r>
        <w:rPr>
          <w:rFonts w:hint="eastAsia" w:ascii="仿宋_GB2312" w:hAnsi="仿宋_GB2312" w:eastAsia="仿宋_GB2312" w:cs="仿宋_GB2312"/>
          <w:color w:val="000000"/>
          <w:sz w:val="32"/>
          <w:szCs w:val="32"/>
          <w:shd w:val="clear" w:color="auto" w:fill="FFFFFF"/>
        </w:rPr>
        <w:t>部门</w:t>
      </w:r>
      <w:r>
        <w:rPr>
          <w:rFonts w:ascii="仿宋_GB2312" w:hAnsi="仿宋_GB2312" w:eastAsia="仿宋_GB2312" w:cs="仿宋_GB2312"/>
          <w:color w:val="000000"/>
          <w:sz w:val="32"/>
          <w:szCs w:val="32"/>
          <w:shd w:val="clear" w:color="auto" w:fill="FFFFFF"/>
        </w:rPr>
        <w:t>一般公共预算拨款支出</w:t>
      </w:r>
      <w:r>
        <w:rPr>
          <w:rFonts w:hint="eastAsia" w:ascii="仿宋_GB2312" w:hAnsi="仿宋_GB2312" w:eastAsia="仿宋_GB2312" w:cs="仿宋_GB2312"/>
          <w:color w:val="000000"/>
          <w:sz w:val="32"/>
          <w:szCs w:val="32"/>
          <w:shd w:val="clear" w:color="auto" w:fill="FFFFFF"/>
          <w:lang w:val="en-US" w:eastAsia="zh-CN"/>
        </w:rPr>
        <w:t>326.16</w:t>
      </w:r>
      <w:r>
        <w:rPr>
          <w:rFonts w:hint="eastAsia" w:ascii="仿宋_GB2312" w:hAnsi="仿宋_GB2312" w:eastAsia="仿宋_GB2312" w:cs="仿宋_GB2312"/>
          <w:color w:val="000000"/>
          <w:sz w:val="32"/>
          <w:szCs w:val="32"/>
          <w:shd w:val="clear" w:color="auto" w:fill="FFFFFF"/>
        </w:rPr>
        <w:t>万元</w:t>
      </w:r>
      <w:r>
        <w:rPr>
          <w:rFonts w:ascii="仿宋_GB2312" w:hAnsi="仿宋_GB2312" w:eastAsia="仿宋_GB2312" w:cs="仿宋_GB2312"/>
          <w:color w:val="000000"/>
          <w:sz w:val="32"/>
          <w:szCs w:val="32"/>
          <w:shd w:val="clear" w:color="auto" w:fill="FFFFFF"/>
        </w:rPr>
        <w:t>（含上级财政补助</w:t>
      </w:r>
      <w:bookmarkStart w:id="3" w:name="PAY_SJCZBZZC_AMT"/>
      <w:r>
        <w:rPr>
          <w:rFonts w:ascii="仿宋_GB2312" w:hAnsi="仿宋_GB2312" w:eastAsia="仿宋_GB2312" w:cs="仿宋_GB2312"/>
          <w:color w:val="000000"/>
          <w:sz w:val="32"/>
          <w:szCs w:val="32"/>
          <w:shd w:val="clear" w:color="auto" w:fill="FFFFFF"/>
        </w:rPr>
        <w:t>0.00</w:t>
      </w:r>
      <w:bookmarkEnd w:id="3"/>
      <w:r>
        <w:rPr>
          <w:rFonts w:hint="eastAsia" w:ascii="仿宋_GB2312" w:hAnsi="仿宋_GB2312" w:eastAsia="仿宋_GB2312" w:cs="仿宋_GB2312"/>
          <w:color w:val="000000"/>
          <w:sz w:val="32"/>
          <w:szCs w:val="32"/>
          <w:shd w:val="clear" w:color="auto" w:fill="FFFFFF"/>
        </w:rPr>
        <w:t>万元</w:t>
      </w:r>
      <w:r>
        <w:rPr>
          <w:rFonts w:ascii="仿宋_GB2312" w:hAnsi="仿宋_GB2312" w:eastAsia="仿宋_GB2312" w:cs="仿宋_GB2312"/>
          <w:color w:val="000000"/>
          <w:sz w:val="32"/>
          <w:szCs w:val="32"/>
          <w:shd w:val="clear" w:color="auto" w:fill="FFFFFF"/>
        </w:rPr>
        <w:t>），</w:t>
      </w:r>
      <w:bookmarkStart w:id="4" w:name="START_PAY_YBGGYSBKZC"/>
      <w:bookmarkEnd w:id="4"/>
      <w:bookmarkStart w:id="5" w:name="DIS_MARK_PAY_YBGGYSBKZC"/>
      <w:r>
        <w:rPr>
          <w:rFonts w:ascii="仿宋_GB2312" w:hAnsi="仿宋_GB2312" w:eastAsia="仿宋_GB2312" w:cs="仿宋_GB2312"/>
          <w:color w:val="000000"/>
          <w:sz w:val="32"/>
          <w:szCs w:val="32"/>
          <w:shd w:val="clear" w:color="auto" w:fill="FFFFFF"/>
        </w:rPr>
        <w:t>其中：教育支出</w:t>
      </w:r>
      <w:r>
        <w:rPr>
          <w:rFonts w:hint="eastAsia" w:ascii="仿宋_GB2312" w:hAnsi="仿宋_GB2312" w:eastAsia="仿宋_GB2312" w:cs="仿宋_GB2312"/>
          <w:color w:val="000000"/>
          <w:sz w:val="32"/>
          <w:szCs w:val="32"/>
          <w:shd w:val="clear" w:color="auto" w:fill="FFFFFF"/>
          <w:lang w:val="en-US" w:eastAsia="zh-CN"/>
        </w:rPr>
        <w:t>326.16</w:t>
      </w:r>
      <w:r>
        <w:rPr>
          <w:rFonts w:ascii="仿宋_GB2312" w:hAnsi="仿宋_GB2312" w:eastAsia="仿宋_GB2312" w:cs="仿宋_GB2312"/>
          <w:color w:val="000000"/>
          <w:sz w:val="32"/>
          <w:szCs w:val="32"/>
          <w:shd w:val="clear" w:color="auto" w:fill="FFFFFF"/>
        </w:rPr>
        <w:t>万元，占100.00%。</w:t>
      </w:r>
      <w:bookmarkEnd w:id="5"/>
      <w:bookmarkStart w:id="6" w:name="DIS_MARK_PAY_ZWFXFZC_AMT_1"/>
      <w:bookmarkEnd w:id="6"/>
      <w:bookmarkStart w:id="7" w:name="END_PAY_ZFBZZC_AMT_1"/>
      <w:bookmarkEnd w:id="7"/>
      <w:bookmarkStart w:id="8" w:name="DIS_MARK_PAY_SHBXJJZC_AMT_1"/>
      <w:bookmarkEnd w:id="8"/>
      <w:bookmarkStart w:id="9" w:name="END_PAY_JNHBZC_AMT_1"/>
      <w:bookmarkEnd w:id="9"/>
      <w:bookmarkStart w:id="10" w:name="END_PAY_SHBXYJYZC_AMT_1"/>
      <w:bookmarkEnd w:id="10"/>
      <w:bookmarkStart w:id="11" w:name="DIS_MARK_PAY_YBF_AMT_1"/>
      <w:bookmarkEnd w:id="11"/>
      <w:bookmarkStart w:id="12" w:name="END_PAY_WHLYTYYCMZC_AMT_1"/>
      <w:bookmarkEnd w:id="12"/>
      <w:bookmarkStart w:id="13" w:name="DIS_MARK_PAY_QTZC_AMT_1"/>
      <w:bookmarkEnd w:id="13"/>
      <w:bookmarkStart w:id="14" w:name="START_PAY_ZHFZJYJGLZC_AMT_1"/>
      <w:bookmarkEnd w:id="14"/>
      <w:bookmarkStart w:id="15" w:name="DIS_MARK_PAY_YZQTDFZC_AMT_1"/>
      <w:bookmarkEnd w:id="15"/>
      <w:bookmarkStart w:id="16" w:name="DIS_MARK_PAY_JNHBZC_AMT_1"/>
      <w:bookmarkEnd w:id="16"/>
      <w:bookmarkStart w:id="17" w:name="END_PAY_ZYXZCZC_AMT_1"/>
      <w:bookmarkEnd w:id="17"/>
      <w:bookmarkStart w:id="18" w:name="START_PAY_WSJKZC_AMT_1"/>
      <w:bookmarkEnd w:id="18"/>
      <w:bookmarkStart w:id="19" w:name="DIS_MARK_PAY_ZFBZZC_AMT_1"/>
      <w:bookmarkEnd w:id="19"/>
      <w:bookmarkStart w:id="20" w:name="DIS_MARK_PAY_SYFWDZC_AMT_1"/>
      <w:bookmarkEnd w:id="20"/>
      <w:bookmarkStart w:id="21" w:name="START_PAY_JRZC_AMT_1"/>
      <w:bookmarkEnd w:id="21"/>
      <w:bookmarkStart w:id="22" w:name="START_PAY_KXJSZC_AMT_1"/>
      <w:bookmarkEnd w:id="22"/>
      <w:bookmarkStart w:id="23" w:name="START_PAY_YBF_AMT_1"/>
      <w:bookmarkEnd w:id="23"/>
      <w:bookmarkStart w:id="24" w:name="DIS_MARK_PAY_ZHFZJYJGLZC_AMT_1"/>
      <w:bookmarkEnd w:id="24"/>
      <w:bookmarkStart w:id="25" w:name="START_PAY_ZFBZZC_AMT_1"/>
      <w:bookmarkEnd w:id="25"/>
      <w:bookmarkStart w:id="26" w:name="END_PAY_JTYSZC_AMT_1"/>
      <w:bookmarkEnd w:id="26"/>
      <w:bookmarkStart w:id="27" w:name="DIS_MARK_PAY_CXSQZC_AMT_1"/>
      <w:bookmarkEnd w:id="27"/>
      <w:bookmarkStart w:id="28" w:name="END_PAY_YZQTDFZC_AMT_1"/>
      <w:bookmarkEnd w:id="28"/>
      <w:bookmarkStart w:id="29" w:name="START_PAY_ZYKTXXZC_AMT_1"/>
      <w:bookmarkEnd w:id="29"/>
      <w:bookmarkStart w:id="30" w:name="DIS_MARK_PAY_ZRZYHYQXZC_AMT_1"/>
      <w:bookmarkEnd w:id="30"/>
      <w:bookmarkStart w:id="31" w:name="START_PAY_CXSQZC_AMT_1"/>
      <w:bookmarkEnd w:id="31"/>
      <w:bookmarkStart w:id="32" w:name="DIS_MARK_PAY_WHLYTYYCMZC_AMT_1"/>
      <w:bookmarkEnd w:id="32"/>
      <w:bookmarkStart w:id="33" w:name="END_PAY_SHBXJJZC_AMT_1"/>
      <w:bookmarkEnd w:id="33"/>
      <w:bookmarkStart w:id="34" w:name="END_PAY_ZRZYHYQXZC_AMT_1"/>
      <w:bookmarkEnd w:id="34"/>
      <w:bookmarkStart w:id="35" w:name="END_PAY_ZWFXZC_AMT_1"/>
      <w:bookmarkEnd w:id="35"/>
      <w:bookmarkStart w:id="36" w:name="START_PAY_ZRZYHYQXZC_AMT_1"/>
      <w:bookmarkEnd w:id="36"/>
      <w:bookmarkStart w:id="37" w:name="DIS_MARK_PAY_ZYXZCZC_AMT_1"/>
      <w:bookmarkEnd w:id="37"/>
      <w:bookmarkStart w:id="38" w:name="END_PAY_CXSQZC_AMT_1"/>
      <w:bookmarkEnd w:id="38"/>
      <w:bookmarkStart w:id="39" w:name="DIS_MARK_PAY_NLSZC_AMT_1"/>
      <w:bookmarkEnd w:id="39"/>
      <w:bookmarkStart w:id="40" w:name="START_PAY_JNHBZC_AMT_1"/>
      <w:bookmarkEnd w:id="40"/>
      <w:bookmarkStart w:id="41" w:name="START_PAY_SHBXYJYZC_AMT_1"/>
      <w:bookmarkEnd w:id="41"/>
      <w:bookmarkStart w:id="42" w:name="DIS_MARK_PAY_LYWZCBZC_AMT_1"/>
      <w:bookmarkEnd w:id="42"/>
      <w:bookmarkStart w:id="43" w:name="END_PAY_YBGGYSBKZC"/>
      <w:bookmarkEnd w:id="43"/>
      <w:bookmarkStart w:id="44" w:name="START_PAY_WHLYTYYCMZC_AMT_1"/>
      <w:bookmarkEnd w:id="44"/>
      <w:bookmarkStart w:id="45" w:name="START_PAY_LYWZCBZC_AMT_1"/>
      <w:bookmarkEnd w:id="45"/>
      <w:bookmarkStart w:id="46" w:name="END_PAY_ZYKTXXZC_AMT_1"/>
      <w:bookmarkEnd w:id="46"/>
      <w:bookmarkStart w:id="47" w:name="START_PAY_NLSZC_AMT_1"/>
      <w:bookmarkEnd w:id="47"/>
      <w:bookmarkStart w:id="48" w:name="END_PAY_ZWFXFZC_AMT_1"/>
      <w:bookmarkEnd w:id="48"/>
      <w:bookmarkStart w:id="49" w:name="START_PAY_QTZC_AMT_1"/>
      <w:bookmarkEnd w:id="49"/>
      <w:bookmarkStart w:id="50" w:name="DIS_MARK_PAY_WSJKZC_AMT_1"/>
      <w:bookmarkEnd w:id="50"/>
      <w:bookmarkStart w:id="51" w:name="END_PAY_NLSZC_AMT_1"/>
      <w:bookmarkEnd w:id="51"/>
      <w:bookmarkStart w:id="52" w:name="END_PAY_JYZC_AMT_1"/>
      <w:bookmarkEnd w:id="52"/>
      <w:bookmarkStart w:id="53" w:name="END_PAY_ZHFZJYJGLZC_AMT_1"/>
      <w:bookmarkEnd w:id="53"/>
      <w:bookmarkStart w:id="54" w:name="END_PAY_KXJSZC_AMT_1"/>
      <w:bookmarkEnd w:id="54"/>
      <w:bookmarkStart w:id="55" w:name="DIS_MARK_PAY_JTYSZC_AMT_1"/>
      <w:bookmarkEnd w:id="55"/>
      <w:bookmarkStart w:id="56" w:name="DIS_MARK_PAY_SHBXYJYZC_AMT_1"/>
      <w:bookmarkEnd w:id="56"/>
      <w:bookmarkStart w:id="57" w:name="END_PAY_YBF_AMT_1"/>
      <w:bookmarkEnd w:id="57"/>
      <w:bookmarkStart w:id="58" w:name="END_PAY_LYWZCBZC_AMT_1"/>
      <w:bookmarkEnd w:id="58"/>
      <w:bookmarkStart w:id="59" w:name="DIS_MARK_PAY_JRZC_AMT_1"/>
      <w:bookmarkEnd w:id="59"/>
      <w:bookmarkStart w:id="60" w:name="END_PAY_WSJKZC_AMT_1"/>
      <w:bookmarkEnd w:id="60"/>
      <w:bookmarkStart w:id="61" w:name="START_PAY_SYFWDZC_AMT_1"/>
      <w:bookmarkEnd w:id="61"/>
      <w:bookmarkStart w:id="62" w:name="START_PAY_ZWFXFZC_AMT_1"/>
      <w:bookmarkEnd w:id="62"/>
      <w:bookmarkStart w:id="63" w:name="START_PAY_ZWFXZC_AMT_1"/>
      <w:bookmarkEnd w:id="63"/>
      <w:bookmarkStart w:id="64" w:name="END_PAY_ZWHBZC_AMT_1"/>
      <w:bookmarkEnd w:id="64"/>
      <w:bookmarkStart w:id="65" w:name="DIS_MARK_PAY_ZWHBZC_AMT_1"/>
      <w:bookmarkEnd w:id="65"/>
      <w:bookmarkStart w:id="66" w:name="START_PAY_YZQTDFZC_AMT_1"/>
      <w:bookmarkEnd w:id="66"/>
      <w:bookmarkStart w:id="67" w:name="START_PAY_ZWHBZC_AMT_1"/>
      <w:bookmarkEnd w:id="67"/>
      <w:bookmarkStart w:id="68" w:name="DIS_MARK_PAY_ZWFXZC_AMT_1"/>
      <w:bookmarkEnd w:id="68"/>
      <w:bookmarkStart w:id="69" w:name="END_PAY_QTZC_AMT_1"/>
      <w:bookmarkEnd w:id="69"/>
      <w:bookmarkStart w:id="70" w:name="DIS_MARK_PAY_KXJSZC_AMT_1"/>
      <w:bookmarkEnd w:id="70"/>
      <w:bookmarkStart w:id="71" w:name="START_PAY_ZYXZCZC_AMT_1"/>
      <w:bookmarkEnd w:id="71"/>
      <w:bookmarkStart w:id="72" w:name="END_PAY_JRZC_AMT_1"/>
      <w:bookmarkEnd w:id="72"/>
      <w:bookmarkStart w:id="73" w:name="START_PAY_SHBXJJZC_AMT_1"/>
      <w:bookmarkEnd w:id="73"/>
      <w:bookmarkStart w:id="74" w:name="END_PAY_SYFWDZC_AMT_1"/>
      <w:bookmarkEnd w:id="74"/>
      <w:bookmarkStart w:id="75" w:name="START_PAY_JTYSZC_AMT_1"/>
      <w:bookmarkEnd w:id="75"/>
      <w:bookmarkStart w:id="76" w:name="DIS_MARK_PAY_ZYKTXXZC_AMT_1"/>
      <w:bookmarkEnd w:id="76"/>
      <w:r>
        <w:rPr>
          <w:rFonts w:ascii="仿宋_GB2312" w:hAnsi="仿宋_GB2312" w:eastAsia="仿宋_GB2312" w:cs="仿宋_GB2312"/>
          <w:color w:val="000000"/>
          <w:sz w:val="32"/>
          <w:szCs w:val="32"/>
          <w:shd w:val="clear" w:color="auto" w:fill="FFFFFF"/>
        </w:rPr>
        <w:t>具体安排情况如下：</w:t>
      </w:r>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eastAsia="仿宋_GB2312"/>
          <w:b/>
          <w:sz w:val="32"/>
          <w:szCs w:val="32"/>
          <w:lang w:val="en-US" w:eastAsia="zh-CN"/>
        </w:rPr>
        <w:t>1.</w:t>
      </w:r>
      <w:r>
        <w:rPr>
          <w:rFonts w:eastAsia="仿宋_GB2312"/>
          <w:b/>
          <w:sz w:val="32"/>
          <w:szCs w:val="32"/>
        </w:rPr>
        <w:t>基本支出：</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年本部门基本支出预算数</w:t>
      </w:r>
      <w:r>
        <w:rPr>
          <w:rFonts w:hint="eastAsia" w:ascii="仿宋_GB2312" w:hAnsi="仿宋_GB2312" w:eastAsia="仿宋_GB2312" w:cs="仿宋_GB2312"/>
          <w:color w:val="000000"/>
          <w:sz w:val="32"/>
          <w:szCs w:val="32"/>
          <w:shd w:val="clear" w:color="auto" w:fill="FFFFFF"/>
          <w:lang w:val="en-US" w:eastAsia="zh-CN"/>
        </w:rPr>
        <w:t>318.04</w:t>
      </w:r>
      <w:r>
        <w:rPr>
          <w:rFonts w:hint="eastAsia" w:ascii="仿宋_GB2312" w:hAnsi="仿宋_GB2312" w:eastAsia="仿宋_GB2312" w:cs="仿宋_GB2312"/>
          <w:color w:val="000000"/>
          <w:sz w:val="32"/>
          <w:szCs w:val="32"/>
          <w:shd w:val="clear" w:color="auto" w:fill="FFFFFF"/>
        </w:rPr>
        <w:t>万元，主要是为保障部门正常运转、完成日常工作任务而发生的各项支出，包括用于基本工资、津贴补贴等人员经费以及办公费、印刷费、水电费、办公设备购置等公用经费。</w:t>
      </w:r>
    </w:p>
    <w:p>
      <w:pPr>
        <w:spacing w:line="570" w:lineRule="atLeast"/>
        <w:ind w:firstLine="640" w:firstLineChars="200"/>
        <w:rPr>
          <w:rFonts w:hint="eastAsia" w:ascii="仿宋_GB2312" w:hAnsi="仿宋_GB2312" w:eastAsia="仿宋_GB2312" w:cs="仿宋_GB2312"/>
          <w:color w:val="000000"/>
          <w:sz w:val="32"/>
          <w:szCs w:val="32"/>
          <w:shd w:val="clear" w:color="auto" w:fill="FFFFFF"/>
          <w:lang w:eastAsia="zh-CN"/>
        </w:rPr>
      </w:pPr>
      <w:r>
        <w:rPr>
          <w:rFonts w:hint="eastAsia" w:eastAsia="仿宋_GB2312"/>
          <w:b/>
          <w:sz w:val="32"/>
          <w:szCs w:val="32"/>
          <w:lang w:val="en-US" w:eastAsia="zh-CN"/>
        </w:rPr>
        <w:t>2.</w:t>
      </w:r>
      <w:r>
        <w:rPr>
          <w:rFonts w:eastAsia="仿宋_GB2312"/>
          <w:b/>
          <w:sz w:val="32"/>
          <w:szCs w:val="32"/>
        </w:rPr>
        <w:t>项目支出：</w:t>
      </w:r>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年本部门项目支出预算</w:t>
      </w:r>
      <w:r>
        <w:rPr>
          <w:rFonts w:hint="eastAsia" w:eastAsia="仿宋_GB2312"/>
          <w:sz w:val="32"/>
          <w:szCs w:val="32"/>
          <w:lang w:val="en-US" w:eastAsia="zh-CN"/>
        </w:rPr>
        <w:t>8.12</w:t>
      </w:r>
      <w:r>
        <w:rPr>
          <w:rFonts w:hint="eastAsia" w:ascii="仿宋_GB2312" w:hAnsi="仿宋_GB2312" w:eastAsia="仿宋_GB2312" w:cs="仿宋_GB2312"/>
          <w:color w:val="000000"/>
          <w:sz w:val="32"/>
          <w:szCs w:val="32"/>
          <w:shd w:val="clear" w:color="auto" w:fill="FFFFFF"/>
        </w:rPr>
        <w:t>万元，主要是</w:t>
      </w:r>
      <w:r>
        <w:rPr>
          <w:rFonts w:hint="eastAsia" w:ascii="仿宋_GB2312" w:hAnsi="仿宋_GB2312" w:eastAsia="仿宋_GB2312" w:cs="仿宋_GB2312"/>
          <w:bCs/>
          <w:sz w:val="32"/>
          <w:szCs w:val="32"/>
        </w:rPr>
        <w:t>部门</w:t>
      </w:r>
      <w:r>
        <w:rPr>
          <w:rFonts w:hint="eastAsia" w:ascii="仿宋_GB2312" w:hAnsi="仿宋_GB2312" w:eastAsia="仿宋_GB2312" w:cs="仿宋_GB2312"/>
          <w:color w:val="000000"/>
          <w:sz w:val="32"/>
          <w:szCs w:val="32"/>
          <w:shd w:val="clear" w:color="auto" w:fill="FFFFFF"/>
        </w:rPr>
        <w:t>为完成特定行政工作任务或事业发展目标而发生的支出</w:t>
      </w:r>
      <w:r>
        <w:rPr>
          <w:rFonts w:hint="eastAsia" w:ascii="仿宋_GB2312" w:hAnsi="仿宋_GB2312" w:eastAsia="仿宋_GB2312" w:cs="仿宋_GB2312"/>
          <w:bCs/>
          <w:sz w:val="32"/>
          <w:szCs w:val="32"/>
        </w:rPr>
        <w:t>，包括有关事业发展专项、专项业务费、基本建设支出等</w:t>
      </w:r>
      <w:bookmarkStart w:id="77" w:name="START_PUNCTUATION_MARK"/>
      <w:bookmarkEnd w:id="77"/>
      <w:bookmarkStart w:id="78" w:name="START_PAY_YBGGFWXMZC"/>
      <w:bookmarkEnd w:id="78"/>
      <w:bookmarkStart w:id="79" w:name="END_PUNCTUATION_MARK"/>
      <w:bookmarkEnd w:id="79"/>
      <w:bookmarkStart w:id="80" w:name="DIS_MARK_PUNCTUATION_MARK"/>
      <w:bookmarkEnd w:id="80"/>
      <w:bookmarkStart w:id="81" w:name="DIS_MARK_PAY_YBGGFWXMZC"/>
      <w:r>
        <w:rPr>
          <w:rFonts w:hint="eastAsia" w:ascii="仿宋_GB2312" w:hAnsi="仿宋_GB2312" w:eastAsia="仿宋_GB2312" w:cs="仿宋_GB2312"/>
          <w:bCs/>
          <w:sz w:val="32"/>
          <w:szCs w:val="32"/>
        </w:rPr>
        <w:t>，其中：</w:t>
      </w:r>
      <w:r>
        <w:rPr>
          <w:rFonts w:hint="eastAsia" w:ascii="仿宋_GB2312" w:hAnsi="仿宋_GB2312" w:eastAsia="仿宋_GB2312" w:cs="仿宋_GB2312"/>
          <w:bCs/>
          <w:sz w:val="32"/>
          <w:szCs w:val="32"/>
          <w:highlight w:val="none"/>
        </w:rPr>
        <w:t>工伤保险</w:t>
      </w:r>
      <w:r>
        <w:rPr>
          <w:rFonts w:hint="eastAsia" w:ascii="仿宋_GB2312" w:hAnsi="仿宋_GB2312" w:eastAsia="仿宋_GB2312" w:cs="仿宋_GB2312"/>
          <w:bCs/>
          <w:sz w:val="32"/>
          <w:szCs w:val="32"/>
          <w:highlight w:val="none"/>
          <w:lang w:val="en-US" w:eastAsia="zh-CN"/>
        </w:rPr>
        <w:t>1.7</w:t>
      </w:r>
      <w:r>
        <w:rPr>
          <w:rFonts w:hint="eastAsia" w:ascii="仿宋_GB2312" w:hAnsi="仿宋_GB2312" w:eastAsia="仿宋_GB2312" w:cs="仿宋_GB2312"/>
          <w:bCs/>
          <w:sz w:val="32"/>
          <w:szCs w:val="32"/>
          <w:highlight w:val="none"/>
        </w:rPr>
        <w:t>万元，</w:t>
      </w:r>
      <w:r>
        <w:rPr>
          <w:rFonts w:hint="eastAsia" w:ascii="仿宋_GB2312" w:hAnsi="仿宋_GB2312" w:eastAsia="仿宋_GB2312" w:cs="仿宋_GB2312"/>
          <w:bCs/>
          <w:sz w:val="32"/>
          <w:szCs w:val="32"/>
        </w:rPr>
        <w:t>主要用于保障工伤职工医疗以及其基本生活、伤残抚恤和遗属抚恤,在一定程度上解除了职工和家属的后顾之忧。工伤保险与单位改善劳动条件、防病防伤、安全教育，医疗康复、社会服务等工作紧密相联。对保障职工的安全，防止或减少工伤、职业病，保护职工的身体健康，至关重要。工伤保险保障了受伤害职工的合法权益，有利于妥善处理事故和恢复生产，维护正常的生产、生活秩序，维护社会安定；</w:t>
      </w:r>
      <w:r>
        <w:rPr>
          <w:rFonts w:hint="eastAsia" w:ascii="仿宋_GB2312" w:hAnsi="仿宋_GB2312" w:eastAsia="仿宋_GB2312" w:cs="仿宋_GB2312"/>
          <w:bCs/>
          <w:sz w:val="32"/>
          <w:szCs w:val="32"/>
          <w:highlight w:val="none"/>
        </w:rPr>
        <w:t>老师培训费</w:t>
      </w:r>
      <w:r>
        <w:rPr>
          <w:rFonts w:hint="eastAsia" w:ascii="仿宋_GB2312" w:hAnsi="仿宋_GB2312" w:eastAsia="仿宋_GB2312" w:cs="仿宋_GB2312"/>
          <w:bCs/>
          <w:sz w:val="32"/>
          <w:szCs w:val="32"/>
          <w:highlight w:val="none"/>
          <w:lang w:val="en-US" w:eastAsia="zh-CN"/>
        </w:rPr>
        <w:t>4.5</w:t>
      </w:r>
      <w:r>
        <w:rPr>
          <w:rFonts w:hint="eastAsia" w:ascii="仿宋_GB2312" w:hAnsi="仿宋_GB2312" w:eastAsia="仿宋_GB2312" w:cs="仿宋_GB2312"/>
          <w:bCs/>
          <w:sz w:val="32"/>
          <w:szCs w:val="32"/>
          <w:highlight w:val="none"/>
        </w:rPr>
        <w:t>万元，</w:t>
      </w:r>
      <w:r>
        <w:rPr>
          <w:rFonts w:hint="eastAsia" w:ascii="仿宋_GB2312" w:hAnsi="仿宋_GB2312" w:eastAsia="仿宋_GB2312" w:cs="仿宋_GB2312"/>
          <w:bCs/>
          <w:sz w:val="32"/>
          <w:szCs w:val="32"/>
        </w:rPr>
        <w:t>主要用于教师学术交流等所发生的外埠差旅费、市内交通费用等，为了组织开展学术研讨、咨询以及协调项目研究工作等活动而发生的会议费用等；老师体检费0.6万元，主要用于保障教师的健康,提供更好的教学保障</w:t>
      </w:r>
      <w:bookmarkEnd w:id="81"/>
      <w:bookmarkStart w:id="82" w:name="END_PAY_XMMC_03_AMT"/>
      <w:bookmarkEnd w:id="82"/>
      <w:bookmarkStart w:id="83" w:name="DIS_MARK_PAY_XMMC_07_AMT"/>
      <w:bookmarkEnd w:id="83"/>
      <w:bookmarkStart w:id="84" w:name="END_PAY_XMMC_27_AMT"/>
      <w:bookmarkEnd w:id="84"/>
      <w:bookmarkStart w:id="85" w:name="START_PAY_XMMC_09_AMT"/>
      <w:bookmarkEnd w:id="85"/>
      <w:bookmarkStart w:id="86" w:name="DIS_MARK_PAY_XMMC_09_AMT"/>
      <w:bookmarkEnd w:id="86"/>
      <w:bookmarkStart w:id="87" w:name="START_PAY_XMMC_26_AMT"/>
      <w:bookmarkEnd w:id="87"/>
      <w:bookmarkStart w:id="88" w:name="DIS_MARK_PAY_XMMC_14_AMT"/>
      <w:bookmarkEnd w:id="88"/>
      <w:bookmarkStart w:id="89" w:name="END_PAY_LYWZCBZC_AMT_2"/>
      <w:bookmarkEnd w:id="89"/>
      <w:bookmarkStart w:id="90" w:name="DIS_MARK_PAY_XMMC_29_AMT"/>
      <w:bookmarkEnd w:id="90"/>
      <w:bookmarkStart w:id="91" w:name="DIS_MARK_PAY_ZYKTZC_AMT_2"/>
      <w:bookmarkEnd w:id="91"/>
      <w:bookmarkStart w:id="92" w:name="START_PAY_ZWHBZC_AMT_2"/>
      <w:bookmarkEnd w:id="92"/>
      <w:bookmarkStart w:id="93" w:name="DIS_MARK_PAY_XMMC_08_AMT"/>
      <w:bookmarkEnd w:id="93"/>
      <w:bookmarkStart w:id="94" w:name="DIS_MARK_PAY_XMMC_04_AMT"/>
      <w:bookmarkEnd w:id="94"/>
      <w:bookmarkStart w:id="95" w:name="START_PAY_XMMC_20_AMT"/>
      <w:bookmarkEnd w:id="95"/>
      <w:bookmarkStart w:id="96" w:name="START_PAY_XMMC_18_AMT"/>
      <w:bookmarkEnd w:id="96"/>
      <w:bookmarkStart w:id="97" w:name="START_PAY_YZQTDQZC_AMT_2"/>
      <w:bookmarkEnd w:id="97"/>
      <w:bookmarkStart w:id="98" w:name="DIS_MARK_PAY_ZWHBZC_AMT_2"/>
      <w:bookmarkEnd w:id="98"/>
      <w:bookmarkStart w:id="99" w:name="DIS_MARK_PAY_QTZC_AMT_2"/>
      <w:bookmarkEnd w:id="99"/>
      <w:bookmarkStart w:id="100" w:name="START_PAY_ZYXZC_AMT_2"/>
      <w:bookmarkEnd w:id="100"/>
      <w:bookmarkStart w:id="101" w:name="END_PAY_XMMC_16_AMT"/>
      <w:bookmarkEnd w:id="101"/>
      <w:bookmarkStart w:id="102" w:name="START_PAY_XMMC_04_AMT"/>
      <w:bookmarkEnd w:id="102"/>
      <w:bookmarkStart w:id="103" w:name="START_PAY_XMMC_22_AMT"/>
      <w:bookmarkEnd w:id="103"/>
      <w:bookmarkStart w:id="104" w:name="END_PAY_XMMC_06_AMT"/>
      <w:bookmarkEnd w:id="104"/>
      <w:bookmarkStart w:id="105" w:name="END_PAY_XMMC_07_AMT"/>
      <w:bookmarkEnd w:id="105"/>
      <w:bookmarkStart w:id="106" w:name="END_PAY_XMMC_21_AMT"/>
      <w:bookmarkEnd w:id="106"/>
      <w:bookmarkStart w:id="107" w:name="DIS_MARK_PAY_XMMC_15_AMT"/>
      <w:bookmarkEnd w:id="107"/>
      <w:bookmarkStart w:id="108" w:name="END_PAY_XMMC_17_AMT"/>
      <w:bookmarkEnd w:id="108"/>
      <w:bookmarkStart w:id="109" w:name="START_PAY_XMMC_29_AMT"/>
      <w:bookmarkEnd w:id="109"/>
      <w:bookmarkStart w:id="110" w:name="DIS_MARK_PAY_ZWFXFZC_AMT_2"/>
      <w:bookmarkEnd w:id="110"/>
      <w:bookmarkStart w:id="111" w:name="END_PAY_XMMC_29_AMT"/>
      <w:bookmarkEnd w:id="111"/>
      <w:bookmarkStart w:id="112" w:name="START_PAY_XMMC_27_AMT"/>
      <w:bookmarkEnd w:id="112"/>
      <w:bookmarkStart w:id="113" w:name="DIS_MARK_PAY_XMMC_03_AMT"/>
      <w:bookmarkEnd w:id="113"/>
      <w:bookmarkStart w:id="114" w:name="START_PAY_ZWFXFZC_AMT_2"/>
      <w:bookmarkEnd w:id="114"/>
      <w:bookmarkStart w:id="115" w:name="END_PAY_XMMC_10_AMT"/>
      <w:bookmarkEnd w:id="115"/>
      <w:bookmarkStart w:id="116" w:name="END_PAY_ZWFXFZC_AMT_2"/>
      <w:bookmarkEnd w:id="116"/>
      <w:bookmarkStart w:id="117" w:name="END_PAY_XMMC_30_AMT"/>
      <w:bookmarkEnd w:id="117"/>
      <w:bookmarkStart w:id="118" w:name="DIS_MARK_PAY_XMMC_20_AMT"/>
      <w:bookmarkEnd w:id="118"/>
      <w:bookmarkStart w:id="119" w:name="END_PAY_XMMC_11_AMT"/>
      <w:bookmarkEnd w:id="119"/>
      <w:bookmarkStart w:id="120" w:name="DIS_MARK_PAY_XMMC_22_AMT"/>
      <w:bookmarkEnd w:id="120"/>
      <w:bookmarkStart w:id="121" w:name="END_PAY_XMMC_19_AMT"/>
      <w:bookmarkEnd w:id="121"/>
      <w:bookmarkStart w:id="122" w:name="DIS_MARK_PAY_XMMC_16_AMT"/>
      <w:bookmarkEnd w:id="122"/>
      <w:bookmarkStart w:id="123" w:name="START_PAY_XMMC_21_AMT"/>
      <w:bookmarkEnd w:id="123"/>
      <w:bookmarkStart w:id="124" w:name="END_PAY_XMMC_23_AMT"/>
      <w:bookmarkEnd w:id="124"/>
      <w:bookmarkStart w:id="125" w:name="DIS_MARK_PAY_XMMC_05_AMT"/>
      <w:bookmarkEnd w:id="125"/>
      <w:bookmarkStart w:id="126" w:name="DIS_MARK_PAY_XMMC_23_AMT"/>
      <w:bookmarkEnd w:id="126"/>
      <w:bookmarkStart w:id="127" w:name="DIS_MARK_PAY_XMMC_30_AMT"/>
      <w:bookmarkEnd w:id="127"/>
      <w:bookmarkStart w:id="128" w:name="DIS_MARK_PAY_XMMC_24_AMT"/>
      <w:bookmarkEnd w:id="128"/>
      <w:bookmarkStart w:id="129" w:name="END_PAY_YBGGFWXMZC"/>
      <w:bookmarkEnd w:id="129"/>
      <w:bookmarkStart w:id="130" w:name="END_PAY_XMMC_20_AMT"/>
      <w:bookmarkEnd w:id="130"/>
      <w:bookmarkStart w:id="131" w:name="END_PAY_XMMC_18_AMT"/>
      <w:bookmarkEnd w:id="131"/>
      <w:bookmarkStart w:id="132" w:name="DIS_MARK_PAY_XMMC_10_AMT"/>
      <w:bookmarkEnd w:id="132"/>
      <w:bookmarkStart w:id="133" w:name="DIS_MARK_PAY_XMMC_27_AMT"/>
      <w:bookmarkEnd w:id="133"/>
      <w:bookmarkStart w:id="134" w:name="START_PAY_XMMC_07_AMT"/>
      <w:bookmarkEnd w:id="134"/>
      <w:bookmarkStart w:id="135" w:name="END_PAY_XMMC_28_AMT"/>
      <w:bookmarkEnd w:id="135"/>
      <w:bookmarkStart w:id="136" w:name="START_PAY_XMMC_17_AMT"/>
      <w:bookmarkEnd w:id="136"/>
      <w:bookmarkStart w:id="137" w:name="DIS_MARK_PAY_XMMC_25_AMT"/>
      <w:bookmarkEnd w:id="137"/>
      <w:bookmarkStart w:id="138" w:name="START_PAY_XMMC_14_AMT"/>
      <w:bookmarkEnd w:id="138"/>
      <w:bookmarkStart w:id="139" w:name="START_PAY_XMMC_30_AMT"/>
      <w:bookmarkEnd w:id="139"/>
      <w:bookmarkStart w:id="140" w:name="START_PAY_XMMC_28_AMT"/>
      <w:bookmarkEnd w:id="140"/>
      <w:bookmarkStart w:id="141" w:name="END_PAY_XMMC_09_AMT"/>
      <w:bookmarkEnd w:id="141"/>
      <w:bookmarkStart w:id="142" w:name="DIS_MARK_PAY_XMMC_19_AMT"/>
      <w:bookmarkEnd w:id="142"/>
      <w:bookmarkStart w:id="143" w:name="START_PAY_XMMC_03_AMT"/>
      <w:bookmarkEnd w:id="143"/>
      <w:bookmarkStart w:id="144" w:name="START_PAY_XMMC_25_AMT"/>
      <w:bookmarkEnd w:id="144"/>
      <w:bookmarkStart w:id="145" w:name="DIS_MARK_PAY_XMMC_26_AMT"/>
      <w:bookmarkEnd w:id="145"/>
      <w:bookmarkStart w:id="146" w:name="START_PAY_XMMC_23_AMT"/>
      <w:bookmarkEnd w:id="146"/>
      <w:bookmarkStart w:id="147" w:name="DIS_MARK_PAY_XMMC_18_AMT"/>
      <w:bookmarkEnd w:id="147"/>
      <w:bookmarkStart w:id="148" w:name="START_PAY_XMMC_08_AMT"/>
      <w:bookmarkEnd w:id="148"/>
      <w:bookmarkStart w:id="149" w:name="START_PAY_XMMC_19_AMT"/>
      <w:bookmarkEnd w:id="149"/>
      <w:bookmarkStart w:id="150" w:name="START_PAY_XMMC_24_AMT"/>
      <w:bookmarkEnd w:id="150"/>
      <w:bookmarkStart w:id="151" w:name="END_PAY_XMMC_08_AMT"/>
      <w:bookmarkEnd w:id="151"/>
      <w:bookmarkStart w:id="152" w:name="END_PAY_XMMC_25_AMT"/>
      <w:bookmarkEnd w:id="152"/>
      <w:bookmarkStart w:id="153" w:name="START_PAY_WSJKZC_AMT_2"/>
      <w:bookmarkEnd w:id="153"/>
      <w:bookmarkStart w:id="154" w:name="START_PAY_ZYKTZC_AMT_2"/>
      <w:bookmarkEnd w:id="154"/>
      <w:bookmarkStart w:id="155" w:name="DIS_MARK_PAY_XMMC_12_AMT"/>
      <w:bookmarkEnd w:id="155"/>
      <w:bookmarkStart w:id="156" w:name="DIS_MARK_PAY_XMMC_28_AMT"/>
      <w:bookmarkEnd w:id="156"/>
      <w:bookmarkStart w:id="157" w:name="END_PAY_XMMC_22_AMT"/>
      <w:bookmarkEnd w:id="157"/>
      <w:bookmarkStart w:id="158" w:name="END_PAY_JNHBZC_AMT_2"/>
      <w:bookmarkEnd w:id="158"/>
      <w:bookmarkStart w:id="159" w:name="END_PAY_XMMC_24_AMT"/>
      <w:bookmarkEnd w:id="159"/>
      <w:bookmarkStart w:id="160" w:name="END_PAY_YBFZC_AMT_2"/>
      <w:bookmarkEnd w:id="160"/>
      <w:bookmarkStart w:id="161" w:name="START_PAY_LYWZCBZC_AMT_2"/>
      <w:bookmarkEnd w:id="161"/>
      <w:bookmarkStart w:id="162" w:name="START_PAY_ZHFZJYJGLZC_AMT_2"/>
      <w:bookmarkEnd w:id="162"/>
      <w:bookmarkStart w:id="163" w:name="DIS_MARK_PAY_XMMC_02_AMT"/>
      <w:bookmarkEnd w:id="163"/>
      <w:bookmarkStart w:id="164" w:name="START_PAY_ZWFXZC_AMT_2"/>
      <w:bookmarkEnd w:id="164"/>
      <w:bookmarkStart w:id="165" w:name="START_PAY_YBFZC_AMT_2"/>
      <w:bookmarkEnd w:id="165"/>
      <w:bookmarkStart w:id="166" w:name="DIS_MARK_PAY_XMMC_21_AMT"/>
      <w:bookmarkEnd w:id="166"/>
      <w:bookmarkStart w:id="167" w:name="START_PAY_SYFWZC_AMT_2"/>
      <w:bookmarkEnd w:id="167"/>
      <w:bookmarkStart w:id="168" w:name="DIS_MARK_PAY_SHBXJJZC_AMT_2"/>
      <w:bookmarkEnd w:id="168"/>
      <w:bookmarkStart w:id="169" w:name="DIS_MARK_PAY_SYFWZC_AMT_2"/>
      <w:bookmarkEnd w:id="169"/>
      <w:bookmarkStart w:id="170" w:name="END_PAY_XMMC_14_AMT"/>
      <w:bookmarkEnd w:id="170"/>
      <w:bookmarkStart w:id="171" w:name="END_PAY_XMMC_26_AMT"/>
      <w:bookmarkEnd w:id="171"/>
      <w:bookmarkStart w:id="172" w:name="END_PAY_NLSZC_AMT_2"/>
      <w:bookmarkEnd w:id="172"/>
      <w:bookmarkStart w:id="173" w:name="END_PAY_ZFBZZC_AMT_2"/>
      <w:bookmarkEnd w:id="173"/>
      <w:bookmarkStart w:id="174" w:name="END_PAY_ZHFZJYJGLZC_AMT_2"/>
      <w:bookmarkEnd w:id="174"/>
      <w:bookmarkStart w:id="175" w:name="START_PAY_QTZC_AMT_2"/>
      <w:bookmarkEnd w:id="175"/>
      <w:bookmarkStart w:id="176" w:name="DIS_MARK_PAY_WSJKZC_AMT_2"/>
      <w:bookmarkEnd w:id="176"/>
      <w:bookmarkStart w:id="177" w:name="DIS_MARK_PAY_YBFZC_AMT_2"/>
      <w:bookmarkEnd w:id="177"/>
      <w:bookmarkStart w:id="178" w:name="START_PAY_ZFBZZC_AMT_2"/>
      <w:bookmarkEnd w:id="178"/>
      <w:bookmarkStart w:id="179" w:name="DIS_MARK_PAY_NLSZC_AMT_2"/>
      <w:bookmarkEnd w:id="179"/>
      <w:bookmarkStart w:id="180" w:name="DIS_MARK_PAY_JTZC_AMT_2"/>
      <w:bookmarkEnd w:id="180"/>
      <w:bookmarkStart w:id="181" w:name="END_PAY_YZQTDQZC_AMT_2"/>
      <w:bookmarkEnd w:id="181"/>
      <w:bookmarkStart w:id="182" w:name="DIS_MARK_PAY_XMMC_17_AMT"/>
      <w:bookmarkEnd w:id="182"/>
      <w:bookmarkStart w:id="183" w:name="DIS_MARK_PAY_XMMC_11_AMT"/>
      <w:bookmarkEnd w:id="183"/>
      <w:bookmarkStart w:id="184" w:name="DIS_MARK_PAY_ZWFXZC_AMT_2"/>
      <w:bookmarkEnd w:id="184"/>
      <w:bookmarkStart w:id="185" w:name="START_PAY_XMMC_06_AMT"/>
      <w:bookmarkEnd w:id="185"/>
      <w:bookmarkStart w:id="186" w:name="END_PAY_XMMC_12_AMT"/>
      <w:bookmarkEnd w:id="186"/>
      <w:bookmarkStart w:id="187" w:name="END_PAY_XMMC_13_AMT"/>
      <w:bookmarkEnd w:id="187"/>
      <w:bookmarkStart w:id="188" w:name="START_PAY_XMMC_12_AMT"/>
      <w:bookmarkEnd w:id="188"/>
      <w:bookmarkStart w:id="189" w:name="END_PAY_XMMC_04_AMT"/>
      <w:bookmarkEnd w:id="189"/>
      <w:bookmarkStart w:id="190" w:name="START_PAY_XMMC_01_AMT"/>
      <w:bookmarkEnd w:id="190"/>
      <w:bookmarkStart w:id="191" w:name="DIS_MARK_PAY_YZQTDQZC_AMT_2"/>
      <w:bookmarkEnd w:id="191"/>
      <w:bookmarkStart w:id="192" w:name="END_PAY_ZRZYHYQXZC_AMT_2"/>
      <w:bookmarkEnd w:id="192"/>
      <w:bookmarkStart w:id="193" w:name="END_PAY_WSJKZC_AMT_2"/>
      <w:bookmarkEnd w:id="193"/>
      <w:bookmarkStart w:id="194" w:name="END_PAY_SHBXJJZC_AMT_2"/>
      <w:bookmarkEnd w:id="194"/>
      <w:bookmarkStart w:id="195" w:name="START_PAY_JTZC_AMT_2"/>
      <w:bookmarkEnd w:id="195"/>
      <w:bookmarkStart w:id="196" w:name="DIS_MARK_PAY_ZRZYHYQXZC_AMT_2"/>
      <w:bookmarkEnd w:id="196"/>
      <w:bookmarkStart w:id="197" w:name="DIS_MARK_PAY_ZFBZZC_AMT_2"/>
      <w:bookmarkEnd w:id="197"/>
      <w:bookmarkStart w:id="198" w:name="END_PAY_ZYKTZC_AMT_2"/>
      <w:bookmarkEnd w:id="198"/>
      <w:bookmarkStart w:id="199" w:name="START_PAY_SHBXJJZC_AMT_2"/>
      <w:bookmarkEnd w:id="199"/>
      <w:bookmarkStart w:id="200" w:name="DIS_MARK_PAY_CXSQZC_AMT_2"/>
      <w:bookmarkEnd w:id="200"/>
      <w:bookmarkStart w:id="201" w:name="END_PAY_ZWHBZC_AMT_2"/>
      <w:bookmarkEnd w:id="201"/>
      <w:bookmarkStart w:id="202" w:name="START_PAY_XMMC_16_AMT"/>
      <w:bookmarkEnd w:id="202"/>
      <w:bookmarkStart w:id="203" w:name="START_PAY_ZRZYHYQXZC_AMT_2"/>
      <w:bookmarkEnd w:id="203"/>
      <w:bookmarkStart w:id="204" w:name="END_PAY_SHBZYJYZC_AMT_2"/>
      <w:bookmarkEnd w:id="204"/>
      <w:bookmarkStart w:id="205" w:name="START_PAY_JNHBZC_AMT_2"/>
      <w:bookmarkEnd w:id="205"/>
      <w:bookmarkStart w:id="206" w:name="DIS_MARK_PAY_ZYXZC_AMT_2"/>
      <w:bookmarkEnd w:id="206"/>
      <w:bookmarkStart w:id="207" w:name="END_PAY_SYFWZC_AMT_2"/>
      <w:bookmarkEnd w:id="207"/>
      <w:bookmarkStart w:id="208" w:name="START_PAY_JRZC_AMT_2"/>
      <w:bookmarkEnd w:id="208"/>
      <w:bookmarkStart w:id="209" w:name="DIS_MARK_PAY_LYWZCBZC_AMT_2"/>
      <w:bookmarkEnd w:id="209"/>
      <w:bookmarkStart w:id="210" w:name="END_PAY_JRZC_AMT_2"/>
      <w:bookmarkEnd w:id="210"/>
      <w:bookmarkStart w:id="211" w:name="END_PAY_XMMC_01_AMT"/>
      <w:bookmarkEnd w:id="211"/>
      <w:bookmarkStart w:id="212" w:name="DIS_MARK_PAY_XMMC_01_AMT"/>
      <w:bookmarkEnd w:id="212"/>
      <w:bookmarkStart w:id="213" w:name="DIS_MARK_PAY_JNHBZC_AMT_2"/>
      <w:bookmarkEnd w:id="213"/>
      <w:bookmarkStart w:id="214" w:name="START_PAY_CXSQZC_AMT_2"/>
      <w:bookmarkEnd w:id="214"/>
      <w:bookmarkStart w:id="215" w:name="END_PAY_JTZC_AMT_2"/>
      <w:bookmarkEnd w:id="215"/>
      <w:bookmarkStart w:id="216" w:name="DIS_MARK_PAY_XMMC_13_AMT"/>
      <w:bookmarkEnd w:id="216"/>
      <w:bookmarkStart w:id="217" w:name="END_PAY_XMMC_02_AMT"/>
      <w:bookmarkEnd w:id="217"/>
      <w:bookmarkStart w:id="218" w:name="START_PAY_XMMC_02_AMT"/>
      <w:bookmarkEnd w:id="218"/>
      <w:bookmarkStart w:id="219" w:name="END_PAY_CXSQZC_AMT_2"/>
      <w:bookmarkEnd w:id="219"/>
      <w:bookmarkStart w:id="220" w:name="END_PAY_QTZC_AMT_2"/>
      <w:bookmarkEnd w:id="220"/>
      <w:bookmarkStart w:id="221" w:name="START_PAY_XMMC_11_AMT"/>
      <w:bookmarkEnd w:id="221"/>
      <w:bookmarkStart w:id="222" w:name="START_PAY_XMMC_15_AMT"/>
      <w:bookmarkEnd w:id="222"/>
      <w:bookmarkStart w:id="223" w:name="DIS_MARK_PAY_ZHFZJYJGLZC_AMT_2"/>
      <w:bookmarkEnd w:id="223"/>
      <w:bookmarkStart w:id="224" w:name="DIS_MARK_PAY_XMMC_06_AMT"/>
      <w:bookmarkEnd w:id="224"/>
      <w:bookmarkStart w:id="225" w:name="DIS_MARK_PAY_JRZC_AMT_2"/>
      <w:bookmarkEnd w:id="225"/>
      <w:bookmarkStart w:id="226" w:name="END_PAY_ZWFXZC_AMT_2"/>
      <w:bookmarkEnd w:id="226"/>
      <w:bookmarkStart w:id="227" w:name="END_PAY_XMMC_05_AMT"/>
      <w:bookmarkEnd w:id="227"/>
      <w:bookmarkStart w:id="228" w:name="END_PAY_XMMC_15_AMT"/>
      <w:bookmarkEnd w:id="228"/>
      <w:bookmarkStart w:id="229" w:name="START_PAY_XMMC_10_AMT"/>
      <w:bookmarkEnd w:id="229"/>
      <w:bookmarkStart w:id="230" w:name="END_PAY_ZYXZC_AMT_2"/>
      <w:bookmarkEnd w:id="230"/>
      <w:bookmarkStart w:id="231" w:name="START_PAY_XMMC_05_AMT"/>
      <w:bookmarkEnd w:id="231"/>
      <w:bookmarkStart w:id="232" w:name="START_PAY_NLSZC_AMT_2"/>
      <w:bookmarkEnd w:id="232"/>
      <w:bookmarkStart w:id="233" w:name="START_PAY_XMMC_13_AMT"/>
      <w:bookmarkEnd w:id="233"/>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失业保险1.32万元，主要用于在保障民生、促进就业、优化营商环境中发挥重要作用，提供经济补偿、技能提升、政策优惠等多维度支持</w:t>
      </w:r>
      <w:r>
        <w:rPr>
          <w:rFonts w:hint="eastAsia" w:ascii="仿宋_GB2312" w:hAnsi="仿宋_GB2312" w:eastAsia="仿宋_GB2312" w:cs="仿宋_GB2312"/>
          <w:bCs/>
          <w:sz w:val="32"/>
          <w:szCs w:val="32"/>
          <w:lang w:eastAsia="zh-CN"/>
        </w:rPr>
        <w:t>。</w:t>
      </w:r>
    </w:p>
    <w:p>
      <w:pPr>
        <w:numPr>
          <w:ilvl w:val="0"/>
          <w:numId w:val="2"/>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政府性基金预算支出情况</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无</w:t>
      </w:r>
    </w:p>
    <w:p>
      <w:pPr>
        <w:numPr>
          <w:ilvl w:val="0"/>
          <w:numId w:val="2"/>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国有资本经营预算支出情况</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无</w:t>
      </w:r>
    </w:p>
    <w:p>
      <w:pPr>
        <w:numPr>
          <w:ilvl w:val="0"/>
          <w:numId w:val="2"/>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社会保险基金预算支出情况</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无</w:t>
      </w:r>
    </w:p>
    <w:p>
      <w:pPr>
        <w:numPr>
          <w:ilvl w:val="0"/>
          <w:numId w:val="2"/>
        </w:numPr>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部门整体支出绩效情况</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1.预期顺利完成2025年普通话测试工作，在我校参加普通话水平测试达到243人。</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预期顺利圆满完成“一村一大”农民大学生招生与教育管理任务，通过省开放大学对县级分校的教学评估验收，于2025年3月13日被永州开放大学评为2025年度全市开放教育办学优秀分校，于2025年十月在第二届永州开放大学办学体系教职工气排球团体赛中荣获三等奖。</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3.预期承接高质高效完成道县2025年暑期义务教育阶段语数英教师247人的教学能力提升培训和道县“爱晚”老年学校3000余人次的社区老教师和福利院老人等培训服务工作任务。</w:t>
      </w:r>
    </w:p>
    <w:p>
      <w:pPr>
        <w:spacing w:line="570" w:lineRule="atLeas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七、存在的问题及原因分析</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财政供养人员情况19人，实际在岗情况为19人，其中编制为21人，缺少培训教师。</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全年预算数略微大于全年执行数，原因在于预算过程中，数据估算不准确，实际执行过程中，有部分资金未使用。主要是其他资金无法准确预算。</w:t>
      </w:r>
    </w:p>
    <w:p>
      <w:pPr>
        <w:spacing w:line="570" w:lineRule="atLeas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八、下一步改进措施</w:t>
      </w:r>
    </w:p>
    <w:p>
      <w:pPr>
        <w:numPr>
          <w:ilvl w:val="0"/>
          <w:numId w:val="0"/>
        </w:numPr>
        <w:ind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内部培训培养培训教师，同时进行预算时各个部门讨论，计划下一年度的具体事项，进行合理预算。</w:t>
      </w:r>
    </w:p>
    <w:p>
      <w:pPr>
        <w:numPr>
          <w:ilvl w:val="0"/>
          <w:numId w:val="3"/>
        </w:numPr>
        <w:ind w:leftChars="0"/>
        <w:rPr>
          <w:rFonts w:hint="eastAsia"/>
          <w:sz w:val="32"/>
          <w:szCs w:val="32"/>
          <w:lang w:val="en-US" w:eastAsia="zh-CN"/>
        </w:rPr>
      </w:pPr>
      <w:r>
        <w:rPr>
          <w:rFonts w:hint="eastAsia" w:ascii="仿宋_GB2312" w:hAnsi="仿宋_GB2312" w:eastAsia="仿宋_GB2312" w:cs="仿宋_GB2312"/>
          <w:sz w:val="32"/>
          <w:szCs w:val="32"/>
          <w:lang w:val="en-US" w:eastAsia="zh-CN"/>
        </w:rPr>
        <w:t>绩效自评结果拟应用和公开情况</w:t>
      </w:r>
    </w:p>
    <w:p>
      <w:pPr>
        <w:spacing w:line="570" w:lineRule="atLeas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无</w:t>
      </w:r>
    </w:p>
    <w:p>
      <w:pPr>
        <w:numPr>
          <w:ilvl w:val="0"/>
          <w:numId w:val="3"/>
        </w:numPr>
        <w:ind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其他需要说明的情况</w:t>
      </w:r>
    </w:p>
    <w:p>
      <w:pPr>
        <w:numPr>
          <w:numId w:val="0"/>
        </w:numPr>
        <w:ind w:firstLine="640" w:firstLineChars="200"/>
        <w:rPr>
          <w:rFonts w:hint="eastAsia" w:ascii="仿宋_GB2312" w:hAnsi="仿宋_GB2312" w:eastAsia="仿宋_GB2312" w:cs="仿宋_GB2312"/>
          <w:sz w:val="32"/>
          <w:szCs w:val="32"/>
          <w:lang w:val="en-US" w:eastAsia="zh-CN"/>
        </w:rPr>
      </w:pPr>
      <w:bookmarkStart w:id="234" w:name="_GoBack"/>
      <w:bookmarkEnd w:id="234"/>
      <w:r>
        <w:rPr>
          <w:rFonts w:hint="eastAsia" w:ascii="仿宋_GB2312" w:hAnsi="仿宋_GB2312" w:eastAsia="仿宋_GB2312" w:cs="仿宋_GB2312"/>
          <w:sz w:val="32"/>
          <w:szCs w:val="32"/>
          <w:lang w:val="en-US" w:eastAsia="zh-CN"/>
        </w:rPr>
        <w:t>无</w:t>
      </w:r>
    </w:p>
    <w:p>
      <w:pPr>
        <w:spacing w:line="570" w:lineRule="atLeast"/>
        <w:ind w:firstLine="640" w:firstLineChars="200"/>
        <w:rPr>
          <w:rFonts w:hint="eastAsia" w:ascii="仿宋_GB2312" w:hAnsi="仿宋_GB2312" w:eastAsia="仿宋_GB2312" w:cs="仿宋_GB2312"/>
          <w:bCs/>
          <w:sz w:val="32"/>
          <w:szCs w:val="32"/>
          <w:lang w:val="en-US" w:eastAsia="zh-CN"/>
        </w:rPr>
      </w:pP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B11229"/>
    <w:multiLevelType w:val="singleLevel"/>
    <w:tmpl w:val="90B11229"/>
    <w:lvl w:ilvl="0" w:tentative="0">
      <w:start w:val="9"/>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F81A46A"/>
    <w:multiLevelType w:val="singleLevel"/>
    <w:tmpl w:val="5F81A46A"/>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3E4B3F"/>
    <w:rsid w:val="070808E4"/>
    <w:rsid w:val="1BDC65A0"/>
    <w:rsid w:val="1D97DEFF"/>
    <w:rsid w:val="1DFF72E5"/>
    <w:rsid w:val="1EFC6F07"/>
    <w:rsid w:val="2256761F"/>
    <w:rsid w:val="228B5470"/>
    <w:rsid w:val="26207B06"/>
    <w:rsid w:val="2BF76068"/>
    <w:rsid w:val="2FDF85B8"/>
    <w:rsid w:val="2FEA73B1"/>
    <w:rsid w:val="2FFFEE04"/>
    <w:rsid w:val="32CC0FF0"/>
    <w:rsid w:val="34DF85B0"/>
    <w:rsid w:val="37CB1ACB"/>
    <w:rsid w:val="3A3A531E"/>
    <w:rsid w:val="3B8F36BC"/>
    <w:rsid w:val="3BE321E9"/>
    <w:rsid w:val="3FEB55E2"/>
    <w:rsid w:val="41F71D47"/>
    <w:rsid w:val="44D20CE5"/>
    <w:rsid w:val="491FF225"/>
    <w:rsid w:val="4FFD214C"/>
    <w:rsid w:val="5777D4F5"/>
    <w:rsid w:val="59DD8326"/>
    <w:rsid w:val="5DEF592A"/>
    <w:rsid w:val="5FC6BB1E"/>
    <w:rsid w:val="5FF720F1"/>
    <w:rsid w:val="66652C98"/>
    <w:rsid w:val="67FF5C0B"/>
    <w:rsid w:val="684F64A7"/>
    <w:rsid w:val="6EFC0924"/>
    <w:rsid w:val="6FB74722"/>
    <w:rsid w:val="6FEF8B7E"/>
    <w:rsid w:val="71A6591B"/>
    <w:rsid w:val="737D59BA"/>
    <w:rsid w:val="77C37683"/>
    <w:rsid w:val="79182C42"/>
    <w:rsid w:val="79FF515B"/>
    <w:rsid w:val="7E9E1962"/>
    <w:rsid w:val="7E9F11B4"/>
    <w:rsid w:val="7EE5326C"/>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customStyle="1" w:styleId="11">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6799</Words>
  <Characters>7714</Characters>
  <Lines>63</Lines>
  <Paragraphs>18</Paragraphs>
  <TotalTime>11</TotalTime>
  <ScaleCrop>false</ScaleCrop>
  <LinksUpToDate>false</LinksUpToDate>
  <CharactersWithSpaces>8722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2026-09-11T01:45:47Z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9885D457BC0E484B84FD3EBBBEF5D425_12</vt:lpwstr>
  </property>
  <property fmtid="{D5CDD505-2E9C-101B-9397-08002B2CF9AE}" pid="4" name="KSOTemplateDocerSaveRecord">
    <vt:lpwstr>eyJoZGlkIjoiNGU5ODM0ZmUwNTYxOGQwZGFkNjg5ZmViZTA2MDg5OTciLCJ1c2VySWQiOiI0MjY0NDI3NzIifQ==</vt:lpwstr>
  </property>
</Properties>
</file>