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2"/>
        <w:jc w:val="center"/>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道县数据局</w:t>
      </w:r>
      <w:r>
        <w:rPr>
          <w:rFonts w:ascii="Times New Roman" w:hAnsi="Times New Roman" w:eastAsia="方正小标宋简体" w:cs="Times New Roman"/>
          <w:sz w:val="72"/>
          <w:szCs w:val="72"/>
        </w:rPr>
        <w:t>部门决算</w:t>
      </w:r>
    </w:p>
    <w:p>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2"/>
        <w:spacing w:line="600" w:lineRule="exact"/>
        <w:jc w:val="both"/>
        <w:rPr>
          <w:rFonts w:ascii="Times New Roman" w:hAnsi="Times New Roman" w:cs="Times New Roman"/>
          <w:b/>
          <w:sz w:val="36"/>
          <w:szCs w:val="28"/>
        </w:r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道县数据局</w:t>
      </w:r>
      <w:r>
        <w:rPr>
          <w:rFonts w:ascii="Times New Roman" w:hAnsi="Times New Roman" w:cs="Times New Roman"/>
          <w:bCs/>
          <w:sz w:val="32"/>
          <w:szCs w:val="32"/>
        </w:rPr>
        <w:t>部门（单位）概况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道县数据局</w:t>
      </w:r>
      <w:r>
        <w:rPr>
          <w:rFonts w:ascii="Times New Roman" w:hAnsi="Times New Roman" w:eastAsia="方正小标宋_GBK" w:cs="Times New Roman"/>
          <w:sz w:val="52"/>
          <w:szCs w:val="52"/>
        </w:rPr>
        <w:t>部门（单位）概况</w:t>
      </w:r>
    </w:p>
    <w:p>
      <w:pPr>
        <w:pStyle w:val="3"/>
        <w:ind w:left="0" w:leftChars="0" w:firstLine="0" w:firstLineChars="0"/>
        <w:rPr>
          <w:rFonts w:ascii="Times New Roman" w:hAnsi="Times New Roman" w:cs="Times New Roman"/>
        </w:rPr>
      </w:pPr>
    </w:p>
    <w:p>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（一）推进、指导、协调、监督全县政务公开(政府信息公开、办事公开)和政务服务体系建设。承担县政务公开政务服务领导 小组办公室的日常工作；拟订全县政务公开、政务服务工作发展 规划和年度计划，建立和完善相应工作机制。</w:t>
      </w:r>
    </w:p>
    <w:p>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(二)指导、协调、推进全县行政审批制度改革工作。承担县行政审批制度改革领导小组办公室的日常工作；拟订行政审批服务有关规章制度及管理办法并组织监督实施；牵头负责县“放管服”改革工作。</w:t>
      </w:r>
    </w:p>
    <w:p>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(三）统筹协调、规划指导、监督评估全县电子政务等工作；统筹推进、协调监督全县“互联网+政务服务”工作。统筹规划、监督考核全县电子政务网络和政府系统网站。</w:t>
      </w:r>
    </w:p>
    <w:p>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(四）统筹协调、规划指导、监督评估全县政务信息化、大数据建设管理和应用等工作；组织协调推进政务数据资源共享和开放工作，统筹政务数据资源的采集、分类、管理、分析和应用工作。</w:t>
      </w:r>
    </w:p>
    <w:p>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(五)承担县优化营商环境联席会议办公室的日常工作。负责全县优化营商环境工作的组织实施和监督、检查、考核；维护营商政务、法制、信用等环境；协调推进全县行政效能工作。</w:t>
      </w:r>
    </w:p>
    <w:p>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(六)承担县社会诚信体系建设领导小组办公室的日常工作。组织协调、监督推进全县有关中央、省社会信用体系建设的法律 法规、决策部署的贯彻落实。拟订并组织实施全县社会信用体系 建设的总体规划和政策措施；统筹推进统一的信用信息平台建设，促进信用信息资源的整合与运用，协调社会信用体系建设的重大问题；拟订守信联合激励和失信联合惩戒制度，牵头组织对重点领域和严重失信行为实施联合惩戒。</w:t>
      </w:r>
    </w:p>
    <w:p>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(七）承担县政务联动处置领导小组办公室的日常工作。负责 拟订全县政务联动处置和城乡网格化建设管理工作规则；统筹规划、指挥协调、管理督导全县12345公共服务热线、政务联动处 置和城乡网格化建设管理。</w:t>
      </w:r>
    </w:p>
    <w:p>
      <w:pPr>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仿宋_GB2312"/>
          <w:sz w:val="32"/>
          <w:szCs w:val="32"/>
        </w:rPr>
        <w:t>(八)承办县委、县政府交办的其他事项，承办县人大建议、县政协提案等事宜。</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（一）内设机构设置。</w:t>
      </w:r>
      <w:bookmarkStart w:id="0" w:name="OLE_LINK9"/>
      <w:r>
        <w:rPr>
          <w:rFonts w:hint="eastAsia" w:ascii="Times New Roman" w:hAnsi="Times New Roman" w:eastAsia="仿宋_GB2312" w:cs="Times New Roman"/>
          <w:bCs/>
          <w:kern w:val="0"/>
          <w:sz w:val="32"/>
          <w:szCs w:val="32"/>
        </w:rPr>
        <w:t>道县</w:t>
      </w:r>
      <w:r>
        <w:rPr>
          <w:rFonts w:hint="eastAsia" w:ascii="Times New Roman" w:hAnsi="Times New Roman" w:eastAsia="仿宋_GB2312" w:cs="Times New Roman"/>
          <w:bCs/>
          <w:kern w:val="0"/>
          <w:sz w:val="32"/>
          <w:szCs w:val="32"/>
          <w:lang w:val="en-US" w:eastAsia="zh-CN"/>
        </w:rPr>
        <w:t>数据</w:t>
      </w:r>
      <w:r>
        <w:rPr>
          <w:rFonts w:hint="eastAsia" w:ascii="Times New Roman" w:hAnsi="Times New Roman" w:eastAsia="仿宋_GB2312" w:cs="Times New Roman"/>
          <w:bCs/>
          <w:kern w:val="0"/>
          <w:sz w:val="32"/>
          <w:szCs w:val="32"/>
        </w:rPr>
        <w:t>局内设机构包括：</w:t>
      </w:r>
      <w:r>
        <w:rPr>
          <w:rFonts w:hint="eastAsia" w:ascii="仿宋_GB2312" w:hAnsi="仿宋" w:eastAsia="仿宋_GB2312"/>
          <w:sz w:val="32"/>
          <w:szCs w:val="32"/>
          <w:lang w:val="en-US" w:eastAsia="zh-CN"/>
        </w:rPr>
        <w:t>道县政务服务中心、数字经济与数据资源股、社会信用体系建设管理股、数字政务与审改股、道县政府网站和大数据中心、联动处置中心、办公室等7个管理机构。</w:t>
      </w:r>
      <w:bookmarkEnd w:id="0"/>
    </w:p>
    <w:p>
      <w:pPr>
        <w:jc w:val="left"/>
        <w:rPr>
          <w:rFonts w:ascii="Times New Roman" w:hAnsi="Times New Roman" w:eastAsia="黑体" w:cs="Times New Roman"/>
          <w:sz w:val="28"/>
          <w:szCs w:val="28"/>
        </w:rPr>
      </w:pPr>
      <w:r>
        <w:rPr>
          <w:rFonts w:hint="eastAsia" w:ascii="Times New Roman" w:hAnsi="Times New Roman" w:eastAsia="仿宋_GB2312" w:cs="Times New Roman"/>
          <w:bCs/>
          <w:kern w:val="0"/>
          <w:sz w:val="32"/>
          <w:szCs w:val="32"/>
        </w:rPr>
        <w:t>（二）决算单位构成。道县</w:t>
      </w:r>
      <w:r>
        <w:rPr>
          <w:rFonts w:hint="eastAsia" w:ascii="Times New Roman" w:hAnsi="Times New Roman" w:eastAsia="仿宋_GB2312" w:cs="Times New Roman"/>
          <w:bCs/>
          <w:kern w:val="0"/>
          <w:sz w:val="32"/>
          <w:szCs w:val="32"/>
          <w:lang w:val="en-US" w:eastAsia="zh-CN"/>
        </w:rPr>
        <w:t>数据</w:t>
      </w:r>
      <w:r>
        <w:rPr>
          <w:rFonts w:hint="eastAsia" w:ascii="Times New Roman" w:hAnsi="Times New Roman" w:eastAsia="仿宋_GB2312" w:cs="Times New Roman"/>
          <w:bCs/>
          <w:kern w:val="0"/>
          <w:sz w:val="32"/>
          <w:szCs w:val="32"/>
        </w:rPr>
        <w:t>局202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年部门决算汇总公开单位构成包括：道县</w:t>
      </w:r>
      <w:r>
        <w:rPr>
          <w:rFonts w:hint="eastAsia" w:ascii="Times New Roman" w:hAnsi="Times New Roman" w:eastAsia="仿宋_GB2312" w:cs="Times New Roman"/>
          <w:bCs/>
          <w:kern w:val="0"/>
          <w:sz w:val="32"/>
          <w:szCs w:val="32"/>
          <w:lang w:val="en-US" w:eastAsia="zh-CN"/>
        </w:rPr>
        <w:t>数据</w:t>
      </w:r>
      <w:r>
        <w:rPr>
          <w:rFonts w:hint="eastAsia" w:ascii="Times New Roman" w:hAnsi="Times New Roman" w:eastAsia="仿宋_GB2312" w:cs="Times New Roman"/>
          <w:bCs/>
          <w:kern w:val="0"/>
          <w:sz w:val="32"/>
          <w:szCs w:val="32"/>
        </w:rPr>
        <w:t>局本级。</w:t>
      </w:r>
    </w:p>
    <w:p>
      <w:pPr>
        <w:pStyle w:val="2"/>
        <w:jc w:val="left"/>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991.3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945</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七、社会保障和就业支出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八、卫生健康支出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16.3</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991.3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991.3</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991.3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991.3</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hint="default" w:ascii="Times New Roman" w:hAnsi="Times New Roman" w:eastAsia="华文中宋" w:cs="Times New Roman"/>
          <w:color w:val="000000"/>
          <w:sz w:val="32"/>
          <w:szCs w:val="32"/>
          <w:lang w:val="en-US" w:eastAsia="zh-CN"/>
        </w:rPr>
      </w:pPr>
      <w:r>
        <w:rPr>
          <w:rFonts w:ascii="Times New Roman" w:hAnsi="Times New Roman" w:eastAsia="华文中宋" w:cs="Times New Roman"/>
          <w:color w:val="000000"/>
          <w:sz w:val="32"/>
          <w:szCs w:val="32"/>
        </w:rPr>
        <w:br w:type="page"/>
      </w:r>
      <w:r>
        <w:rPr>
          <w:rFonts w:hint="eastAsia" w:ascii="Times New Roman" w:hAnsi="Times New Roman" w:eastAsia="华文中宋" w:cs="Times New Roman"/>
          <w:color w:val="000000"/>
          <w:sz w:val="32"/>
          <w:szCs w:val="32"/>
          <w:lang w:val="en-US" w:eastAsia="zh-CN"/>
        </w:rPr>
        <w:t xml:space="preserve">    </w:t>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570"/>
        <w:gridCol w:w="1750"/>
        <w:gridCol w:w="1506"/>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32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50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5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75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50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57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75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50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32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50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32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5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991.3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991.3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57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2010301</w:t>
            </w:r>
          </w:p>
        </w:tc>
        <w:tc>
          <w:tcPr>
            <w:tcW w:w="1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tabs>
                <w:tab w:val="center" w:pos="635"/>
              </w:tabs>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行政运行</w:t>
            </w:r>
          </w:p>
        </w:tc>
        <w:tc>
          <w:tcPr>
            <w:tcW w:w="15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tabs>
                <w:tab w:val="center" w:pos="805"/>
                <w:tab w:val="right" w:pos="1940"/>
              </w:tabs>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297.8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297.8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57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2010306</w:t>
            </w:r>
          </w:p>
        </w:tc>
        <w:tc>
          <w:tcPr>
            <w:tcW w:w="1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tabs>
                <w:tab w:val="center" w:pos="635"/>
              </w:tabs>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政务公开审批</w:t>
            </w:r>
          </w:p>
        </w:tc>
        <w:tc>
          <w:tcPr>
            <w:tcW w:w="15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tabs>
                <w:tab w:val="center" w:pos="805"/>
                <w:tab w:val="right" w:pos="1940"/>
              </w:tabs>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607.7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607.7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57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2010399</w:t>
            </w:r>
          </w:p>
        </w:tc>
        <w:tc>
          <w:tcPr>
            <w:tcW w:w="1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其他政府办公厅及相关机构事物支出</w:t>
            </w:r>
          </w:p>
        </w:tc>
        <w:tc>
          <w:tcPr>
            <w:tcW w:w="15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39.5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39.5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57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2080505</w:t>
            </w:r>
          </w:p>
        </w:tc>
        <w:tc>
          <w:tcPr>
            <w:tcW w:w="1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机关事业单位基本养老保险缴费支出</w:t>
            </w:r>
          </w:p>
        </w:tc>
        <w:tc>
          <w:tcPr>
            <w:tcW w:w="15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57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2101101</w:t>
            </w:r>
          </w:p>
        </w:tc>
        <w:tc>
          <w:tcPr>
            <w:tcW w:w="1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行政单位医疗</w:t>
            </w:r>
          </w:p>
        </w:tc>
        <w:tc>
          <w:tcPr>
            <w:tcW w:w="15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16.3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16.3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6" w:type="pct"/>
        <w:jc w:val="center"/>
        <w:tblLayout w:type="autofit"/>
        <w:tblCellMar>
          <w:top w:w="0" w:type="dxa"/>
          <w:left w:w="108" w:type="dxa"/>
          <w:bottom w:w="0" w:type="dxa"/>
          <w:right w:w="108" w:type="dxa"/>
        </w:tblCellMar>
      </w:tblPr>
      <w:tblGrid>
        <w:gridCol w:w="2102"/>
        <w:gridCol w:w="3581"/>
        <w:gridCol w:w="1556"/>
        <w:gridCol w:w="1013"/>
        <w:gridCol w:w="1013"/>
        <w:gridCol w:w="1556"/>
        <w:gridCol w:w="1013"/>
        <w:gridCol w:w="2375"/>
      </w:tblGrid>
      <w:tr>
        <w:tblPrEx>
          <w:tblCellMar>
            <w:top w:w="0" w:type="dxa"/>
            <w:left w:w="108" w:type="dxa"/>
            <w:bottom w:w="0" w:type="dxa"/>
            <w:right w:w="108" w:type="dxa"/>
          </w:tblCellMar>
        </w:tblPrEx>
        <w:trPr>
          <w:trHeight w:val="595" w:hRule="atLeast"/>
          <w:jc w:val="center"/>
        </w:trPr>
        <w:tc>
          <w:tcPr>
            <w:tcW w:w="1998"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4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4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3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73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258"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4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83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73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258"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83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998"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4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5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5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4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5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35"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998"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47"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991.3</w:t>
            </w:r>
          </w:p>
        </w:tc>
        <w:tc>
          <w:tcPr>
            <w:tcW w:w="356" w:type="pct"/>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351.1</w:t>
            </w:r>
          </w:p>
        </w:tc>
        <w:tc>
          <w:tcPr>
            <w:tcW w:w="356" w:type="pct"/>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640.2</w:t>
            </w:r>
          </w:p>
        </w:tc>
        <w:tc>
          <w:tcPr>
            <w:tcW w:w="54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2010301</w:t>
            </w:r>
          </w:p>
        </w:tc>
        <w:tc>
          <w:tcPr>
            <w:tcW w:w="1258" w:type="pct"/>
            <w:tcBorders>
              <w:top w:val="nil"/>
              <w:left w:val="nil"/>
              <w:bottom w:val="single" w:color="auto" w:sz="4" w:space="0"/>
              <w:right w:val="single" w:color="auto" w:sz="4" w:space="0"/>
            </w:tcBorders>
            <w:shd w:val="clear" w:color="000000" w:fill="FFFFFF"/>
            <w:noWrap/>
            <w:vAlign w:val="center"/>
          </w:tcPr>
          <w:p>
            <w:pPr>
              <w:tabs>
                <w:tab w:val="center" w:pos="635"/>
              </w:tabs>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行政运行</w:t>
            </w:r>
          </w:p>
        </w:tc>
        <w:tc>
          <w:tcPr>
            <w:tcW w:w="547" w:type="pct"/>
            <w:tcBorders>
              <w:top w:val="nil"/>
              <w:left w:val="nil"/>
              <w:bottom w:val="single" w:color="auto" w:sz="4" w:space="0"/>
              <w:right w:val="single" w:color="auto" w:sz="4" w:space="0"/>
            </w:tcBorders>
            <w:shd w:val="clear" w:color="auto" w:fill="auto"/>
            <w:noWrap/>
            <w:vAlign w:val="center"/>
          </w:tcPr>
          <w:p>
            <w:pPr>
              <w:tabs>
                <w:tab w:val="center" w:pos="805"/>
                <w:tab w:val="right" w:pos="1940"/>
              </w:tabs>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297.8</w:t>
            </w:r>
          </w:p>
        </w:tc>
        <w:tc>
          <w:tcPr>
            <w:tcW w:w="356"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297.8</w:t>
            </w:r>
          </w:p>
        </w:tc>
        <w:tc>
          <w:tcPr>
            <w:tcW w:w="356"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54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2010306</w:t>
            </w:r>
          </w:p>
        </w:tc>
        <w:tc>
          <w:tcPr>
            <w:tcW w:w="1258" w:type="pct"/>
            <w:tcBorders>
              <w:top w:val="nil"/>
              <w:left w:val="nil"/>
              <w:bottom w:val="single" w:color="auto" w:sz="4" w:space="0"/>
              <w:right w:val="single" w:color="auto" w:sz="4" w:space="0"/>
            </w:tcBorders>
            <w:shd w:val="clear" w:color="000000" w:fill="FFFFFF"/>
            <w:noWrap/>
            <w:vAlign w:val="center"/>
          </w:tcPr>
          <w:p>
            <w:pPr>
              <w:tabs>
                <w:tab w:val="center" w:pos="635"/>
              </w:tabs>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政务公开审批</w:t>
            </w:r>
          </w:p>
        </w:tc>
        <w:tc>
          <w:tcPr>
            <w:tcW w:w="547" w:type="pct"/>
            <w:tcBorders>
              <w:top w:val="nil"/>
              <w:left w:val="nil"/>
              <w:bottom w:val="single" w:color="auto" w:sz="4" w:space="0"/>
              <w:right w:val="single" w:color="auto" w:sz="4" w:space="0"/>
            </w:tcBorders>
            <w:shd w:val="clear" w:color="auto" w:fill="auto"/>
            <w:noWrap/>
            <w:vAlign w:val="center"/>
          </w:tcPr>
          <w:p>
            <w:pPr>
              <w:tabs>
                <w:tab w:val="center" w:pos="805"/>
                <w:tab w:val="right" w:pos="1940"/>
              </w:tabs>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607.7</w:t>
            </w:r>
          </w:p>
        </w:tc>
        <w:tc>
          <w:tcPr>
            <w:tcW w:w="356"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0</w:t>
            </w:r>
          </w:p>
        </w:tc>
        <w:tc>
          <w:tcPr>
            <w:tcW w:w="356"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607.7</w:t>
            </w:r>
          </w:p>
        </w:tc>
        <w:tc>
          <w:tcPr>
            <w:tcW w:w="54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2010399</w:t>
            </w:r>
          </w:p>
        </w:tc>
        <w:tc>
          <w:tcPr>
            <w:tcW w:w="1258" w:type="pct"/>
            <w:tcBorders>
              <w:top w:val="nil"/>
              <w:left w:val="nil"/>
              <w:bottom w:val="single" w:color="auto" w:sz="4" w:space="0"/>
              <w:right w:val="single" w:color="auto" w:sz="4" w:space="0"/>
            </w:tcBorders>
            <w:shd w:val="clear" w:color="000000" w:fill="FFFFFF"/>
            <w:noWrap/>
            <w:vAlign w:val="center"/>
          </w:tcPr>
          <w:p>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其他政府办公厅及相关机构事物支出</w:t>
            </w:r>
          </w:p>
        </w:tc>
        <w:tc>
          <w:tcPr>
            <w:tcW w:w="547"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39.5</w:t>
            </w:r>
          </w:p>
        </w:tc>
        <w:tc>
          <w:tcPr>
            <w:tcW w:w="356" w:type="pct"/>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7</w:t>
            </w:r>
          </w:p>
        </w:tc>
        <w:tc>
          <w:tcPr>
            <w:tcW w:w="356"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32.5</w:t>
            </w:r>
          </w:p>
        </w:tc>
        <w:tc>
          <w:tcPr>
            <w:tcW w:w="54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2080505</w:t>
            </w:r>
          </w:p>
        </w:tc>
        <w:tc>
          <w:tcPr>
            <w:tcW w:w="1258" w:type="pct"/>
            <w:tcBorders>
              <w:top w:val="nil"/>
              <w:left w:val="nil"/>
              <w:bottom w:val="single" w:color="auto" w:sz="4" w:space="0"/>
              <w:right w:val="single" w:color="auto" w:sz="4" w:space="0"/>
            </w:tcBorders>
            <w:shd w:val="clear" w:color="000000" w:fill="FFFFFF"/>
            <w:noWrap/>
            <w:vAlign w:val="center"/>
          </w:tcPr>
          <w:p>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机关事业单位基本养老保险缴费支出</w:t>
            </w:r>
          </w:p>
        </w:tc>
        <w:tc>
          <w:tcPr>
            <w:tcW w:w="547"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30</w:t>
            </w:r>
          </w:p>
        </w:tc>
        <w:tc>
          <w:tcPr>
            <w:tcW w:w="356"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30</w:t>
            </w:r>
          </w:p>
        </w:tc>
        <w:tc>
          <w:tcPr>
            <w:tcW w:w="356"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54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2101101</w:t>
            </w:r>
          </w:p>
        </w:tc>
        <w:tc>
          <w:tcPr>
            <w:tcW w:w="1258" w:type="pct"/>
            <w:tcBorders>
              <w:top w:val="nil"/>
              <w:left w:val="nil"/>
              <w:bottom w:val="single" w:color="auto" w:sz="4" w:space="0"/>
              <w:right w:val="single" w:color="auto" w:sz="4" w:space="0"/>
            </w:tcBorders>
            <w:shd w:val="clear" w:color="000000" w:fill="FFFFFF"/>
            <w:noWrap/>
            <w:vAlign w:val="center"/>
          </w:tcPr>
          <w:p>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行政单位医疗</w:t>
            </w:r>
          </w:p>
        </w:tc>
        <w:tc>
          <w:tcPr>
            <w:tcW w:w="547"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16.3</w:t>
            </w:r>
          </w:p>
        </w:tc>
        <w:tc>
          <w:tcPr>
            <w:tcW w:w="356"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16.3</w:t>
            </w:r>
          </w:p>
        </w:tc>
        <w:tc>
          <w:tcPr>
            <w:tcW w:w="356"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54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1" w:name="RANGE!A1:I22"/>
      <w:bookmarkEnd w:id="1"/>
      <w:bookmarkStart w:id="2"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fixed"/>
        <w:tblCellMar>
          <w:top w:w="0" w:type="dxa"/>
          <w:left w:w="108" w:type="dxa"/>
          <w:bottom w:w="0" w:type="dxa"/>
          <w:right w:w="108" w:type="dxa"/>
        </w:tblCellMar>
      </w:tblPr>
      <w:tblGrid>
        <w:gridCol w:w="3516"/>
        <w:gridCol w:w="616"/>
        <w:gridCol w:w="711"/>
        <w:gridCol w:w="2856"/>
        <w:gridCol w:w="616"/>
        <w:gridCol w:w="970"/>
        <w:gridCol w:w="1432"/>
        <w:gridCol w:w="1690"/>
        <w:gridCol w:w="1813"/>
      </w:tblGrid>
      <w:tr>
        <w:tblPrEx>
          <w:tblCellMar>
            <w:top w:w="0" w:type="dxa"/>
            <w:left w:w="108" w:type="dxa"/>
            <w:bottom w:w="0" w:type="dxa"/>
            <w:right w:w="108" w:type="dxa"/>
          </w:tblCellMar>
        </w:tblPrEx>
        <w:trPr>
          <w:trHeight w:val="402" w:hRule="atLeast"/>
          <w:jc w:val="center"/>
        </w:trPr>
        <w:tc>
          <w:tcPr>
            <w:tcW w:w="484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377" w:type="dxa"/>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71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85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7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3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69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81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1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85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7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3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6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81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71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991.3</w:t>
            </w: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970"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945</w:t>
            </w:r>
          </w:p>
        </w:tc>
        <w:tc>
          <w:tcPr>
            <w:tcW w:w="143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945</w:t>
            </w:r>
          </w:p>
        </w:tc>
        <w:tc>
          <w:tcPr>
            <w:tcW w:w="16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71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97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43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6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71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97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43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6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71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97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43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6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71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97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43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6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71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97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43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6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71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七、社会保障和就业支出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97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30</w:t>
            </w:r>
          </w:p>
        </w:tc>
        <w:tc>
          <w:tcPr>
            <w:tcW w:w="1432"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16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71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八、卫生健康支出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970"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16.3</w:t>
            </w:r>
          </w:p>
        </w:tc>
        <w:tc>
          <w:tcPr>
            <w:tcW w:w="1432"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16.3</w:t>
            </w:r>
          </w:p>
        </w:tc>
        <w:tc>
          <w:tcPr>
            <w:tcW w:w="16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71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991.3</w:t>
            </w: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97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991.3</w:t>
            </w:r>
          </w:p>
        </w:tc>
        <w:tc>
          <w:tcPr>
            <w:tcW w:w="1432"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991.3</w:t>
            </w:r>
          </w:p>
        </w:tc>
        <w:tc>
          <w:tcPr>
            <w:tcW w:w="16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71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97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43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6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71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97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43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6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71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97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43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6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71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97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43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6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71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970"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991.3</w:t>
            </w:r>
          </w:p>
        </w:tc>
        <w:tc>
          <w:tcPr>
            <w:tcW w:w="1432"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991.3</w:t>
            </w:r>
          </w:p>
        </w:tc>
        <w:tc>
          <w:tcPr>
            <w:tcW w:w="169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81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2"/>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97"/>
        <w:gridCol w:w="2930"/>
        <w:gridCol w:w="3492"/>
        <w:gridCol w:w="3000"/>
      </w:tblGrid>
      <w:tr>
        <w:tblPrEx>
          <w:tblCellMar>
            <w:top w:w="0" w:type="dxa"/>
            <w:left w:w="108" w:type="dxa"/>
            <w:bottom w:w="0" w:type="dxa"/>
            <w:right w:w="108" w:type="dxa"/>
          </w:tblCellMar>
        </w:tblPrEx>
        <w:trPr>
          <w:trHeight w:val="545" w:hRule="atLeast"/>
          <w:jc w:val="center"/>
        </w:trPr>
        <w:tc>
          <w:tcPr>
            <w:tcW w:w="479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2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9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93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9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93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9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93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9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93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9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93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991.3</w:t>
            </w:r>
          </w:p>
        </w:tc>
        <w:tc>
          <w:tcPr>
            <w:tcW w:w="3492"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351.1</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640.2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2010301</w:t>
            </w:r>
          </w:p>
        </w:tc>
        <w:tc>
          <w:tcPr>
            <w:tcW w:w="3597" w:type="dxa"/>
            <w:tcBorders>
              <w:top w:val="nil"/>
              <w:left w:val="nil"/>
              <w:bottom w:val="single" w:color="auto" w:sz="4" w:space="0"/>
              <w:right w:val="single" w:color="auto" w:sz="4" w:space="0"/>
            </w:tcBorders>
            <w:shd w:val="clear" w:color="auto" w:fill="auto"/>
            <w:vAlign w:val="center"/>
          </w:tcPr>
          <w:p>
            <w:pPr>
              <w:tabs>
                <w:tab w:val="center" w:pos="635"/>
              </w:tabs>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行政运行</w:t>
            </w:r>
          </w:p>
        </w:tc>
        <w:tc>
          <w:tcPr>
            <w:tcW w:w="2930" w:type="dxa"/>
            <w:tcBorders>
              <w:top w:val="nil"/>
              <w:left w:val="nil"/>
              <w:bottom w:val="single" w:color="auto" w:sz="4" w:space="0"/>
              <w:right w:val="single" w:color="auto" w:sz="4" w:space="0"/>
            </w:tcBorders>
            <w:shd w:val="clear" w:color="auto" w:fill="auto"/>
            <w:vAlign w:val="center"/>
          </w:tcPr>
          <w:p>
            <w:pPr>
              <w:tabs>
                <w:tab w:val="center" w:pos="805"/>
                <w:tab w:val="right" w:pos="1940"/>
              </w:tabs>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297.8</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297.8</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2010306</w:t>
            </w:r>
          </w:p>
        </w:tc>
        <w:tc>
          <w:tcPr>
            <w:tcW w:w="3597" w:type="dxa"/>
            <w:tcBorders>
              <w:top w:val="nil"/>
              <w:left w:val="nil"/>
              <w:bottom w:val="single" w:color="auto" w:sz="4" w:space="0"/>
              <w:right w:val="single" w:color="auto" w:sz="4" w:space="0"/>
            </w:tcBorders>
            <w:shd w:val="clear" w:color="auto" w:fill="auto"/>
            <w:vAlign w:val="center"/>
          </w:tcPr>
          <w:p>
            <w:pPr>
              <w:tabs>
                <w:tab w:val="center" w:pos="635"/>
              </w:tabs>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政务公开审批</w:t>
            </w:r>
          </w:p>
        </w:tc>
        <w:tc>
          <w:tcPr>
            <w:tcW w:w="2930" w:type="dxa"/>
            <w:tcBorders>
              <w:top w:val="nil"/>
              <w:left w:val="nil"/>
              <w:bottom w:val="single" w:color="auto" w:sz="4" w:space="0"/>
              <w:right w:val="single" w:color="auto" w:sz="4" w:space="0"/>
            </w:tcBorders>
            <w:shd w:val="clear" w:color="auto" w:fill="auto"/>
            <w:vAlign w:val="center"/>
          </w:tcPr>
          <w:p>
            <w:pPr>
              <w:tabs>
                <w:tab w:val="center" w:pos="805"/>
                <w:tab w:val="right" w:pos="1940"/>
              </w:tabs>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607.7</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607.7</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2010399</w:t>
            </w:r>
          </w:p>
        </w:tc>
        <w:tc>
          <w:tcPr>
            <w:tcW w:w="3597"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其他政府办公厅及相关机构事物支出</w:t>
            </w:r>
          </w:p>
        </w:tc>
        <w:tc>
          <w:tcPr>
            <w:tcW w:w="293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39.5</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32.5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2080505</w:t>
            </w:r>
          </w:p>
        </w:tc>
        <w:tc>
          <w:tcPr>
            <w:tcW w:w="3597"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机关事业单位基本养老保险缴费支出</w:t>
            </w:r>
          </w:p>
        </w:tc>
        <w:tc>
          <w:tcPr>
            <w:tcW w:w="293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30</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30</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2101101</w:t>
            </w:r>
          </w:p>
        </w:tc>
        <w:tc>
          <w:tcPr>
            <w:tcW w:w="3597"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行政单位医疗</w:t>
            </w:r>
          </w:p>
        </w:tc>
        <w:tc>
          <w:tcPr>
            <w:tcW w:w="293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16.3</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16.3</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3" w:name="RANGE!A1:I34"/>
      <w:r>
        <w:rPr>
          <w:rFonts w:ascii="Times New Roman" w:hAnsi="Times New Roman" w:eastAsia="黑体" w:cs="Times New Roman"/>
          <w:color w:val="000000"/>
          <w:kern w:val="0"/>
          <w:sz w:val="36"/>
          <w:szCs w:val="36"/>
          <w:lang w:bidi="ar"/>
        </w:rPr>
        <w:t>一般公共预算财政拨款基本支出决算明细表</w:t>
      </w:r>
      <w:bookmarkEnd w:id="3"/>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299.9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51.2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111.5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83.4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7"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p>
            <w:pPr>
              <w:pStyle w:val="2"/>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16.3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24.1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299.9</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51.2</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991.3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3.4</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0.34</w:t>
      </w:r>
      <w:r>
        <w:rPr>
          <w:rFonts w:ascii="Times New Roman" w:hAnsi="Times New Roman" w:eastAsia="仿宋_GB2312" w:cs="Times New Roman"/>
          <w:sz w:val="32"/>
          <w:szCs w:val="32"/>
        </w:rPr>
        <w:t>%，</w:t>
      </w:r>
      <w:bookmarkStart w:id="4" w:name="OLE_LINK6"/>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2025年化解拖欠企业债务，增加了化解债务资金</w:t>
      </w:r>
      <w:r>
        <w:rPr>
          <w:rFonts w:hint="eastAsia" w:ascii="Times New Roman" w:hAnsi="Times New Roman" w:eastAsia="仿宋_GB2312" w:cs="Times New Roman"/>
          <w:sz w:val="32"/>
          <w:szCs w:val="32"/>
          <w:lang w:eastAsia="zh-CN"/>
        </w:rPr>
        <w:t>。</w:t>
      </w:r>
      <w:bookmarkEnd w:id="4"/>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w:t>
      </w:r>
      <w:bookmarkStart w:id="5" w:name="OLE_LINK5"/>
      <w:r>
        <w:rPr>
          <w:rFonts w:hint="eastAsia" w:ascii="Times New Roman" w:hAnsi="Times New Roman" w:eastAsia="仿宋_GB2312" w:cs="Times New Roman"/>
          <w:sz w:val="32"/>
          <w:szCs w:val="32"/>
          <w:lang w:eastAsia="zh-CN"/>
        </w:rPr>
        <w:t>厉行节约办一切事业，严控一般性支出，进一步优化支出结构</w:t>
      </w:r>
      <w:bookmarkEnd w:id="5"/>
      <w:r>
        <w:rPr>
          <w:rFonts w:hint="eastAsia" w:ascii="Times New Roman" w:hAnsi="Times New Roman" w:eastAsia="仿宋_GB2312" w:cs="Times New Roman"/>
          <w:sz w:val="32"/>
          <w:szCs w:val="32"/>
          <w:lang w:eastAsia="zh-CN"/>
        </w:rPr>
        <w:t>，持续压降“三公”经费、办公经费、会议培训等行政开支。同时坚持有保有压，优化支出结构，提高资金使用效率，合理保障重点支出。</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991.3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991.3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991.3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351.1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35.4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640.2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64.6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991.3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3.4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0.34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化解拖欠企业债务，增加了化债资金的拨款。</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945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95.3</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42.9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4.3</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实行过“紧日子”的政策，</w:t>
      </w:r>
      <w:r>
        <w:rPr>
          <w:rFonts w:hint="eastAsia" w:ascii="Times New Roman" w:hAnsi="Times New Roman" w:eastAsia="仿宋_GB2312" w:cs="Times New Roman"/>
          <w:sz w:val="32"/>
          <w:szCs w:val="32"/>
          <w:lang w:eastAsia="zh-CN"/>
        </w:rPr>
        <w:t>厉行节约办一切事业，严控一般性支出，进一步优化支出结构。</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991.3</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945</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95.3</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val="en-US" w:eastAsia="zh-CN"/>
        </w:rPr>
        <w:t>30</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val="en-US" w:eastAsia="zh-CN"/>
        </w:rPr>
        <w:t>16.3</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1.6</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991.3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991.3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w:t>
      </w:r>
      <w:bookmarkStart w:id="6" w:name="OLE_LINK1"/>
      <w:r>
        <w:rPr>
          <w:rFonts w:hint="eastAsia" w:ascii="Times New Roman" w:hAnsi="Times New Roman" w:eastAsia="仿宋_GB2312" w:cs="Times New Roman"/>
          <w:sz w:val="32"/>
          <w:szCs w:val="32"/>
        </w:rPr>
        <w:t>一般公共服务类政府办公厅（室）及相关机构事务</w:t>
      </w:r>
      <w:r>
        <w:rPr>
          <w:rFonts w:hint="eastAsia" w:ascii="Times New Roman" w:hAnsi="Times New Roman" w:eastAsia="仿宋_GB2312" w:cs="Times New Roman"/>
          <w:sz w:val="32"/>
          <w:szCs w:val="32"/>
          <w:lang w:val="en-US" w:eastAsia="zh-CN"/>
        </w:rPr>
        <w:t>行政审批</w:t>
      </w:r>
      <w:r>
        <w:rPr>
          <w:rFonts w:ascii="Times New Roman" w:hAnsi="Times New Roman" w:eastAsia="仿宋_GB2312" w:cs="Times New Roman"/>
          <w:sz w:val="32"/>
          <w:szCs w:val="32"/>
        </w:rPr>
        <w:t>。</w:t>
      </w:r>
    </w:p>
    <w:bookmarkEnd w:id="6"/>
    <w:p>
      <w:pPr>
        <w:pStyle w:val="12"/>
        <w:numPr>
          <w:ilvl w:val="0"/>
          <w:numId w:val="0"/>
        </w:numPr>
        <w:overflowPunct w:val="0"/>
        <w:autoSpaceDE/>
        <w:autoSpaceDN/>
        <w:spacing w:line="600" w:lineRule="exact"/>
        <w:ind w:firstLine="64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607.7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607.7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严格按照预算执行，未发生预算调整，项目按计划完成。</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lang w:val="en-US" w:eastAsia="zh-CN"/>
        </w:rPr>
        <w:t>类政府办公厅（室）及相关机构事务行政运行</w:t>
      </w:r>
      <w:r>
        <w:rPr>
          <w:rFonts w:ascii="Times New Roman" w:hAnsi="Times New Roman" w:eastAsia="仿宋_GB2312" w:cs="Times New Roman"/>
          <w:sz w:val="32"/>
          <w:szCs w:val="32"/>
        </w:rPr>
        <w:t>。</w:t>
      </w:r>
    </w:p>
    <w:p>
      <w:pPr>
        <w:pStyle w:val="12"/>
        <w:numPr>
          <w:ilvl w:val="0"/>
          <w:numId w:val="0"/>
        </w:numPr>
        <w:overflowPunct w:val="0"/>
        <w:autoSpaceDE/>
        <w:autoSpaceDN/>
        <w:spacing w:line="600" w:lineRule="exact"/>
        <w:ind w:firstLine="64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297.8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297.8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99.2</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严格按照预算执行，未发生预算调整，项目按计划完成。</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p>
    <w:p>
      <w:pPr>
        <w:pStyle w:val="12"/>
        <w:numPr>
          <w:ilvl w:val="0"/>
          <w:numId w:val="1"/>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其他</w:t>
      </w:r>
      <w:r>
        <w:rPr>
          <w:rFonts w:hint="eastAsia" w:ascii="Times New Roman" w:hAnsi="Times New Roman" w:eastAsia="仿宋_GB2312" w:cs="Times New Roman"/>
          <w:sz w:val="32"/>
          <w:szCs w:val="32"/>
        </w:rPr>
        <w:t>政府办公厅（室）及相关机构事务</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w:t>
      </w:r>
    </w:p>
    <w:p>
      <w:pPr>
        <w:pStyle w:val="12"/>
        <w:numPr>
          <w:ilvl w:val="0"/>
          <w:numId w:val="0"/>
        </w:numPr>
        <w:overflowPunct w:val="0"/>
        <w:autoSpaceDE/>
        <w:autoSpaceDN/>
        <w:spacing w:line="600" w:lineRule="exact"/>
        <w:ind w:firstLine="64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年初预算为39.5，支出决算为39.5万元，主要原因</w:t>
      </w:r>
      <w:bookmarkStart w:id="7" w:name="OLE_LINK4"/>
      <w:r>
        <w:rPr>
          <w:rFonts w:hint="eastAsia" w:ascii="Times New Roman" w:hAnsi="Times New Roman" w:eastAsia="仿宋_GB2312" w:cs="Times New Roman"/>
          <w:sz w:val="32"/>
          <w:szCs w:val="32"/>
          <w:lang w:val="en-US" w:eastAsia="zh-CN"/>
        </w:rPr>
        <w:t>严格按照预算执行，未发生预算调整，项目按计划完成。</w:t>
      </w:r>
    </w:p>
    <w:bookmarkEnd w:id="7"/>
    <w:p>
      <w:pPr>
        <w:pStyle w:val="12"/>
        <w:numPr>
          <w:ilvl w:val="0"/>
          <w:numId w:val="1"/>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机关事业单位基本养老保险缴费支出</w:t>
      </w:r>
    </w:p>
    <w:p>
      <w:pPr>
        <w:pStyle w:val="12"/>
        <w:numPr>
          <w:ilvl w:val="0"/>
          <w:numId w:val="0"/>
        </w:numPr>
        <w:overflowPunct w:val="0"/>
        <w:autoSpaceDE/>
        <w:autoSpaceDN/>
        <w:spacing w:line="600" w:lineRule="exact"/>
        <w:ind w:left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年初预算为30万元，支出预算为30万元，决算数等于</w:t>
      </w:r>
      <w:bookmarkStart w:id="8" w:name="OLE_LINK2"/>
      <w:r>
        <w:rPr>
          <w:rFonts w:hint="eastAsia" w:ascii="Times New Roman" w:hAnsi="Times New Roman" w:eastAsia="仿宋_GB2312" w:cs="Times New Roman"/>
          <w:sz w:val="32"/>
          <w:szCs w:val="32"/>
          <w:lang w:val="en-US" w:eastAsia="zh-CN"/>
        </w:rPr>
        <w:t>年初预算数的主要原因是养老保险是严格按照人数、工资计算的比较精准。</w:t>
      </w:r>
    </w:p>
    <w:bookmarkEnd w:id="8"/>
    <w:p>
      <w:pPr>
        <w:pStyle w:val="12"/>
        <w:numPr>
          <w:ilvl w:val="0"/>
          <w:numId w:val="1"/>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行政单位医疗支出</w:t>
      </w:r>
    </w:p>
    <w:p>
      <w:pPr>
        <w:pStyle w:val="12"/>
        <w:numPr>
          <w:ilvl w:val="0"/>
          <w:numId w:val="0"/>
        </w:numPr>
        <w:overflowPunct w:val="0"/>
        <w:autoSpaceDE/>
        <w:autoSpaceDN/>
        <w:spacing w:line="600" w:lineRule="exact"/>
        <w:ind w:leftChars="200" w:firstLine="320" w:firstLineChars="1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年初预算16.3，支出预算为16.3万元，决算等于年初预算数的主要原因是医疗保险是严格按照人数、工资计算的比较精准。</w:t>
      </w:r>
    </w:p>
    <w:p>
      <w:pPr>
        <w:pStyle w:val="12"/>
        <w:overflowPunct w:val="0"/>
        <w:autoSpaceDE/>
        <w:autoSpaceDN/>
        <w:spacing w:line="600" w:lineRule="exact"/>
        <w:jc w:val="both"/>
        <w:rPr>
          <w:rFonts w:hint="eastAsia" w:ascii="Times New Roman" w:hAnsi="Times New Roman" w:eastAsia="仿宋_GB2312" w:cs="Times New Roman"/>
          <w:sz w:val="32"/>
          <w:szCs w:val="32"/>
          <w:lang w:val="en-US" w:eastAsia="zh-CN"/>
        </w:rPr>
      </w:pP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351.1</w:t>
      </w:r>
      <w:r>
        <w:rPr>
          <w:rFonts w:ascii="Times New Roman" w:hAnsi="Times New Roman" w:eastAsia="仿宋_GB2312" w:cs="Times New Roman"/>
          <w:sz w:val="32"/>
          <w:szCs w:val="32"/>
        </w:rPr>
        <w:t>万元，其中：</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299.9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85.4</w:t>
      </w:r>
      <w:r>
        <w:rPr>
          <w:rFonts w:ascii="Times New Roman" w:hAnsi="Times New Roman" w:eastAsia="仿宋_GB2312" w:cs="Times New Roman"/>
          <w:sz w:val="32"/>
          <w:szCs w:val="32"/>
        </w:rPr>
        <w:t>%,</w:t>
      </w:r>
      <w:bookmarkStart w:id="9" w:name="OLE_LINK7"/>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rPr>
        <w:t>基本工资</w:t>
      </w:r>
      <w:r>
        <w:rPr>
          <w:rFonts w:hint="eastAsia" w:ascii="Times New Roman" w:hAnsi="Times New Roman" w:eastAsia="仿宋_GB2312" w:cs="Times New Roman"/>
          <w:sz w:val="32"/>
          <w:szCs w:val="32"/>
          <w:lang w:val="en-US" w:eastAsia="zh-CN"/>
        </w:rPr>
        <w:t>111.5</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绩效工资83.4</w:t>
      </w:r>
      <w:r>
        <w:rPr>
          <w:rFonts w:hint="eastAsia" w:ascii="Times New Roman" w:hAnsi="Times New Roman" w:eastAsia="仿宋_GB2312" w:cs="Times New Roman"/>
          <w:sz w:val="32"/>
          <w:szCs w:val="32"/>
        </w:rPr>
        <w:t>万元机关事业单位基本养老保险</w:t>
      </w:r>
      <w:r>
        <w:rPr>
          <w:rFonts w:hint="eastAsia" w:ascii="Times New Roman" w:hAnsi="Times New Roman" w:eastAsia="仿宋_GB2312" w:cs="Times New Roman"/>
          <w:sz w:val="32"/>
          <w:szCs w:val="32"/>
          <w:lang w:val="en-US" w:eastAsia="zh-CN"/>
        </w:rPr>
        <w:t>30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伙食费补助费27万元，其他社会保障缴费24.1万元，</w:t>
      </w:r>
      <w:r>
        <w:rPr>
          <w:rFonts w:hint="eastAsia" w:ascii="Times New Roman" w:hAnsi="Times New Roman" w:eastAsia="仿宋_GB2312" w:cs="Times New Roman"/>
          <w:sz w:val="32"/>
          <w:szCs w:val="32"/>
        </w:rPr>
        <w:t>职工基本医疗保险16.</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津补贴7.6万元</w:t>
      </w:r>
      <w:r>
        <w:rPr>
          <w:rFonts w:hint="eastAsia" w:ascii="Times New Roman" w:hAnsi="Times New Roman" w:eastAsia="仿宋_GB2312" w:cs="Times New Roman"/>
          <w:sz w:val="32"/>
          <w:szCs w:val="32"/>
        </w:rPr>
        <w:t>。</w:t>
      </w:r>
    </w:p>
    <w:bookmarkEnd w:id="9"/>
    <w:p>
      <w:pPr>
        <w:pStyle w:val="12"/>
        <w:overflowPunct w:val="0"/>
        <w:autoSpaceDE/>
        <w:autoSpaceDN/>
        <w:spacing w:line="600" w:lineRule="exact"/>
        <w:ind w:firstLine="640" w:firstLineChars="200"/>
        <w:jc w:val="both"/>
        <w:rPr>
          <w:rFonts w:hint="default" w:ascii="Times New Roman" w:hAnsi="Times New Roman" w:eastAsia="仿宋_GB2312"/>
          <w:sz w:val="32"/>
          <w:szCs w:val="32"/>
          <w:lang w:val="en-US"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51.2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14.6</w:t>
      </w:r>
      <w:r>
        <w:rPr>
          <w:rFonts w:ascii="Times New Roman" w:hAnsi="Times New Roman" w:eastAsia="仿宋_GB2312" w:cs="Times New Roman"/>
          <w:sz w:val="32"/>
          <w:szCs w:val="32"/>
        </w:rPr>
        <w:t>%，</w:t>
      </w:r>
      <w:bookmarkStart w:id="10" w:name="OLE_LINK8"/>
      <w:r>
        <w:rPr>
          <w:rFonts w:hint="eastAsia" w:ascii="Times New Roman" w:hAnsi="Times New Roman" w:eastAsia="仿宋_GB2312"/>
          <w:sz w:val="32"/>
          <w:szCs w:val="32"/>
        </w:rPr>
        <w:t>主要包括办公费</w:t>
      </w:r>
      <w:r>
        <w:rPr>
          <w:rFonts w:hint="eastAsia" w:ascii="Times New Roman" w:hAnsi="Times New Roman" w:eastAsia="仿宋_GB2312"/>
          <w:sz w:val="32"/>
          <w:szCs w:val="32"/>
          <w:lang w:val="en-US" w:eastAsia="zh-CN"/>
        </w:rPr>
        <w:t>25.2万元，工会经费10万元，其他商品和服务7万元，其他交通费用6万元，差旅费3万元。</w:t>
      </w:r>
    </w:p>
    <w:bookmarkEnd w:id="10"/>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减少100%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实行过“紧日子”的要求，压减三公开支</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lang w:val="en-US"/>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相等</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sz w:val="32"/>
          <w:szCs w:val="32"/>
          <w:lang w:eastAsia="zh-CN"/>
        </w:rPr>
        <w:t>我</w:t>
      </w:r>
      <w:r>
        <w:rPr>
          <w:rFonts w:hint="eastAsia" w:ascii="Times New Roman" w:hAnsi="Times New Roman" w:eastAsia="仿宋_GB2312"/>
          <w:sz w:val="32"/>
          <w:szCs w:val="32"/>
          <w:lang w:val="en-US" w:eastAsia="zh-CN"/>
        </w:rPr>
        <w:t>单位没有国（境）外的业务，不需要去交流学习。</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相等</w:t>
      </w:r>
      <w:r>
        <w:rPr>
          <w:rFonts w:hint="eastAsia" w:ascii="Times New Roman" w:hAnsi="Times New Roman" w:eastAsia="仿宋_GB2312"/>
          <w:sz w:val="32"/>
          <w:szCs w:val="32"/>
        </w:rPr>
        <w:t>主要原因是</w:t>
      </w:r>
      <w:bookmarkStart w:id="11" w:name="OLE_LINK3"/>
      <w:r>
        <w:rPr>
          <w:rFonts w:hint="eastAsia" w:ascii="Times New Roman" w:hAnsi="Times New Roman" w:eastAsia="仿宋_GB2312"/>
          <w:sz w:val="32"/>
          <w:szCs w:val="32"/>
          <w:lang w:eastAsia="zh-CN"/>
        </w:rPr>
        <w:t>我</w:t>
      </w:r>
      <w:r>
        <w:rPr>
          <w:rFonts w:hint="eastAsia" w:ascii="Times New Roman" w:hAnsi="Times New Roman" w:eastAsia="仿宋_GB2312"/>
          <w:sz w:val="32"/>
          <w:szCs w:val="32"/>
          <w:lang w:val="en-US" w:eastAsia="zh-CN"/>
        </w:rPr>
        <w:t>单位无外出巡逻等用车的业务，无需购买公务用车</w:t>
      </w:r>
      <w:bookmarkEnd w:id="11"/>
      <w:r>
        <w:rPr>
          <w:rFonts w:hint="eastAsia" w:ascii="Times New Roman" w:hAnsi="Times New Roman" w:eastAsia="仿宋_GB2312"/>
          <w:sz w:val="32"/>
          <w:szCs w:val="32"/>
          <w:lang w:val="en-US" w:eastAsia="zh-CN"/>
        </w:rPr>
        <w:t>，没有公务用车运行和维护的需求</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相等</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sz w:val="32"/>
          <w:szCs w:val="32"/>
          <w:lang w:eastAsia="zh-CN"/>
        </w:rPr>
        <w:t>我单位无外出巡逻等用车的业务，无需购买公务用车。</w:t>
      </w: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rPr>
        <w:t>我单位</w:t>
      </w:r>
      <w:r>
        <w:rPr>
          <w:rFonts w:hint="eastAsia" w:ascii="Times New Roman" w:hAnsi="Times New Roman" w:eastAsia="仿宋_GB2312" w:cs="Times New Roman"/>
          <w:sz w:val="32"/>
          <w:szCs w:val="32"/>
          <w:lang w:val="en-US" w:eastAsia="zh-CN"/>
        </w:rPr>
        <w:t>没有购置单位车辆，没有公务用车运行维护需求</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公务接待政策发生变化，压减“三公经费”</w:t>
      </w:r>
    </w:p>
    <w:p>
      <w:pPr>
        <w:pStyle w:val="12"/>
        <w:numPr>
          <w:ilvl w:val="0"/>
          <w:numId w:val="0"/>
        </w:numPr>
        <w:overflowPunct w:val="0"/>
        <w:autoSpaceDE/>
        <w:autoSpaceDN/>
        <w:spacing w:line="600" w:lineRule="exact"/>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51.2</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7.3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贯彻“过紧日子”的要求，</w:t>
      </w:r>
      <w:r>
        <w:rPr>
          <w:rFonts w:hint="eastAsia" w:ascii="Times New Roman" w:hAnsi="Times New Roman" w:eastAsia="仿宋_GB2312" w:cs="Times New Roman"/>
          <w:sz w:val="32"/>
          <w:szCs w:val="32"/>
          <w:lang w:eastAsia="zh-CN"/>
        </w:rPr>
        <w:t>厉行节约办一切事业，严控</w:t>
      </w:r>
      <w:r>
        <w:rPr>
          <w:rFonts w:hint="eastAsia" w:ascii="Times New Roman" w:hAnsi="Times New Roman" w:eastAsia="仿宋_GB2312" w:cs="Times New Roman"/>
          <w:sz w:val="32"/>
          <w:szCs w:val="32"/>
          <w:lang w:val="en-US" w:eastAsia="zh-CN"/>
        </w:rPr>
        <w:t>机关运行经费支出。</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我</w:t>
      </w:r>
      <w:r>
        <w:rPr>
          <w:rFonts w:hint="eastAsia" w:ascii="Times New Roman" w:hAnsi="Times New Roman" w:eastAsia="仿宋_GB2312" w:cs="Times New Roman"/>
          <w:sz w:val="32"/>
          <w:szCs w:val="32"/>
          <w:lang w:val="en-US" w:eastAsia="zh-CN"/>
        </w:rPr>
        <w:t>单位没有组织召开大会的工作需求，召开会议的次数有限，没有安排会议费用。</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ascii="Times New Roman" w:hAnsi="Times New Roman" w:cs="Times New Roman"/>
          <w:bCs/>
          <w:color w:val="auto"/>
          <w:sz w:val="32"/>
          <w:szCs w:val="32"/>
        </w:rPr>
        <w:t>十二、关于国有资产占用情况说明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12</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680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12</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680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69</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pPr>
        <w:overflowPunct w:val="0"/>
        <w:spacing w:line="600" w:lineRule="exact"/>
        <w:ind w:firstLine="640" w:firstLineChars="200"/>
        <w:rPr>
          <w:rFonts w:ascii="Times New Roman" w:hAnsi="Times New Roman" w:eastAsia="仿宋_GB2312" w:cs="Times New Roman"/>
          <w:b/>
          <w:bCs/>
          <w:kern w:val="0"/>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p>
    <w:p>
      <w:pPr>
        <w:overflowPunct w:val="0"/>
        <w:spacing w:line="600" w:lineRule="exact"/>
        <w:ind w:firstLine="640" w:firstLineChars="200"/>
      </w:pP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991.3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991.3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hint="eastAsia" w:ascii="Times New Roman" w:hAnsi="Times New Roman" w:eastAsia="仿宋_GB2312" w:cs="Times New Roman"/>
          <w:kern w:val="0"/>
          <w:sz w:val="32"/>
          <w:szCs w:val="32"/>
          <w:lang w:val="en-US"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存在的问题：</w:t>
      </w:r>
      <w:r>
        <w:rPr>
          <w:rFonts w:hint="eastAsia" w:ascii="Times New Roman" w:hAnsi="Times New Roman" w:eastAsia="仿宋_GB2312" w:cs="Times New Roman"/>
          <w:sz w:val="32"/>
          <w:szCs w:val="32"/>
        </w:rPr>
        <w:t>预算编制精准度不足</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问题表现：预算和预算绩效管理没有形成体系，监管不完善。原因是</w:t>
      </w:r>
      <w:r>
        <w:rPr>
          <w:rFonts w:hint="eastAsia" w:ascii="Times New Roman" w:hAnsi="Times New Roman" w:eastAsia="仿宋_GB2312" w:cs="Times New Roman"/>
          <w:sz w:val="32"/>
          <w:szCs w:val="32"/>
          <w:lang w:val="en-US" w:eastAsia="zh-CN"/>
        </w:rPr>
        <w:t>财政制度不健全，没有形成统一的内控监管体系。</w:t>
      </w:r>
      <w:r>
        <w:rPr>
          <w:rFonts w:hint="eastAsia" w:ascii="Times New Roman" w:hAnsi="Times New Roman" w:eastAsia="仿宋_GB2312" w:cs="Times New Roman"/>
          <w:sz w:val="32"/>
          <w:szCs w:val="32"/>
        </w:rPr>
        <w:t>改进方向（1）推行“项目池+滚动预算”机制：强化政策前瞻性评估（2）</w:t>
      </w:r>
      <w:r>
        <w:rPr>
          <w:rFonts w:hint="eastAsia" w:ascii="Times New Roman" w:hAnsi="Times New Roman" w:eastAsia="仿宋_GB2312" w:cs="Times New Roman"/>
          <w:sz w:val="32"/>
          <w:szCs w:val="32"/>
          <w:lang w:val="en-US" w:eastAsia="zh-CN"/>
        </w:rPr>
        <w:t>加强内控的管理。</w:t>
      </w:r>
      <w:bookmarkStart w:id="12" w:name="_GoBack"/>
      <w:bookmarkEnd w:id="12"/>
    </w:p>
    <w:p>
      <w:pPr>
        <w:pStyle w:val="12"/>
        <w:numPr>
          <w:ilvl w:val="0"/>
          <w:numId w:val="3"/>
        </w:numPr>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评价结果应用情况。</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评价对象：财政支出、干部履职和涉审中介服务。财政绩效评价，评价结果公开，并作为下年度预算安排重要依据，提高财政资源配置效率和资金效益。</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人员考核评价：平时量化结果作为年度考核，并用于岗位晋升、奖励等，形成能者上、优者奖的导向。</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群众服务评价体系：对群众评价不高的股室进行通办提醒，约谈等，提升各股室的工作能力和服务水平。</w:t>
      </w:r>
    </w:p>
    <w:p>
      <w:pPr>
        <w:pStyle w:val="12"/>
        <w:numPr>
          <w:ilvl w:val="0"/>
          <w:numId w:val="0"/>
        </w:numPr>
        <w:overflowPunct w:val="0"/>
        <w:autoSpaceDE/>
        <w:autoSpaceDN/>
        <w:spacing w:line="600" w:lineRule="exact"/>
        <w:jc w:val="both"/>
        <w:rPr>
          <w:rFonts w:hint="default" w:ascii="Times New Roman" w:hAnsi="Times New Roman" w:eastAsia="仿宋_GB2312" w:cs="Times New Roman"/>
          <w:color w:val="auto"/>
          <w:kern w:val="2"/>
          <w:sz w:val="32"/>
          <w:szCs w:val="32"/>
          <w:lang w:val="en-US" w:eastAsia="zh-CN" w:bidi="ar-SA"/>
        </w:rPr>
      </w:pPr>
    </w:p>
    <w:p>
      <w:pPr>
        <w:pStyle w:val="12"/>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p>
    <w:p>
      <w:pPr>
        <w:pStyle w:val="12"/>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p>
    <w:p>
      <w:pPr>
        <w:pStyle w:val="12"/>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p>
    <w:p>
      <w:pPr>
        <w:pStyle w:val="12"/>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p>
    <w:p>
      <w:pPr>
        <w:pStyle w:val="12"/>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p>
    <w:p>
      <w:pPr>
        <w:pStyle w:val="12"/>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p>
    <w:p>
      <w:pPr>
        <w:pStyle w:val="12"/>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p>
    <w:p>
      <w:pPr>
        <w:pStyle w:val="12"/>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p>
    <w:p>
      <w:pPr>
        <w:pStyle w:val="12"/>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pStyle w:val="12"/>
        <w:spacing w:line="360" w:lineRule="auto"/>
        <w:jc w:val="center"/>
        <w:rPr>
          <w:rFonts w:ascii="Times New Roman" w:hAnsi="Times New Roman" w:eastAsia="方正小标宋_GBK" w:cs="Times New Roman"/>
          <w:sz w:val="52"/>
          <w:szCs w:val="52"/>
        </w:rPr>
      </w:pPr>
    </w:p>
    <w:p>
      <w:pPr>
        <w:overflowPunct w:val="0"/>
        <w:spacing w:line="60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一般公共预算：以税收为主体，用于民生保障、经济发展、国家安全等公共领域的收支计划，按收支平衡原则编制</w:t>
      </w:r>
    </w:p>
    <w:p>
      <w:pPr>
        <w:overflowPunct w:val="0"/>
        <w:spacing w:line="60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二、政府性基金预算：依法向特定对象征收的专项资金（如土地出让金），按“以收定支”原则专项用于特定公共事业</w:t>
      </w:r>
    </w:p>
    <w:p>
      <w:pPr>
        <w:overflowPunct w:val="0"/>
        <w:spacing w:line="60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三、国有资本经营预算：国有企业上缴收益形成的预算，可调入一般公共预算，不列赤字</w:t>
      </w:r>
    </w:p>
    <w:p>
      <w:pPr>
        <w:overflowPunct w:val="0"/>
        <w:spacing w:line="60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四、财政拨款收入：单位从本级财政部门取得的预算资金，不含非税收入</w:t>
      </w:r>
    </w:p>
    <w:p>
      <w:pPr>
        <w:overflowPunct w:val="0"/>
        <w:spacing w:line="60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五、财政专户管理资金：教育收费等纳入财政专户管理的非税收入</w:t>
      </w:r>
    </w:p>
    <w:p>
      <w:pPr>
        <w:overflowPunct w:val="0"/>
        <w:spacing w:line="60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六、事业收入：事业单位开展专业活动取得的收入</w:t>
      </w:r>
    </w:p>
    <w:p>
      <w:pPr>
        <w:pStyle w:val="12"/>
        <w:jc w:val="center"/>
        <w:rPr>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2"/>
        <w:spacing w:line="600" w:lineRule="exact"/>
        <w:ind w:firstLine="640" w:firstLineChars="200"/>
        <w:rPr>
          <w:rFonts w:ascii="Times New Roman" w:hAnsi="Times New Roman" w:eastAsia="仿宋_GB2312" w:cs="Times New Roman"/>
          <w:sz w:val="32"/>
          <w:szCs w:val="3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9653D0"/>
    <w:multiLevelType w:val="singleLevel"/>
    <w:tmpl w:val="8D9653D0"/>
    <w:lvl w:ilvl="0" w:tentative="0">
      <w:start w:val="3"/>
      <w:numFmt w:val="chineseCounting"/>
      <w:suff w:val="nothing"/>
      <w:lvlText w:val="（%1）"/>
      <w:lvlJc w:val="left"/>
      <w:rPr>
        <w:rFonts w:hint="eastAsia"/>
      </w:rPr>
    </w:lvl>
  </w:abstractNum>
  <w:abstractNum w:abstractNumId="1">
    <w:nsid w:val="2DC5AD24"/>
    <w:multiLevelType w:val="singleLevel"/>
    <w:tmpl w:val="2DC5AD24"/>
    <w:lvl w:ilvl="0" w:tentative="0">
      <w:start w:val="3"/>
      <w:numFmt w:val="decimal"/>
      <w:lvlText w:val="%1."/>
      <w:lvlJc w:val="left"/>
      <w:pPr>
        <w:tabs>
          <w:tab w:val="left" w:pos="312"/>
        </w:tabs>
      </w:pPr>
    </w:lvl>
  </w:abstractNum>
  <w:abstractNum w:abstractNumId="2">
    <w:nsid w:val="580620F4"/>
    <w:multiLevelType w:val="singleLevel"/>
    <w:tmpl w:val="580620F4"/>
    <w:lvl w:ilvl="0" w:tentative="0">
      <w:start w:val="3"/>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BF49F8"/>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057D1A5B"/>
    <w:rsid w:val="156F0982"/>
    <w:rsid w:val="1D97DEFF"/>
    <w:rsid w:val="1DFF72E5"/>
    <w:rsid w:val="1EFC6F07"/>
    <w:rsid w:val="1F5627F9"/>
    <w:rsid w:val="23E76EA7"/>
    <w:rsid w:val="2FDF85B8"/>
    <w:rsid w:val="2FFFEE04"/>
    <w:rsid w:val="340846E0"/>
    <w:rsid w:val="34DF85B0"/>
    <w:rsid w:val="3B8F36BC"/>
    <w:rsid w:val="3F02215C"/>
    <w:rsid w:val="491FF225"/>
    <w:rsid w:val="4D3C6268"/>
    <w:rsid w:val="4FFD214C"/>
    <w:rsid w:val="53931106"/>
    <w:rsid w:val="5777D4F5"/>
    <w:rsid w:val="59DD8326"/>
    <w:rsid w:val="5DEF592A"/>
    <w:rsid w:val="5FC6BB1E"/>
    <w:rsid w:val="5FF720F1"/>
    <w:rsid w:val="67FF5C0B"/>
    <w:rsid w:val="6E0A236F"/>
    <w:rsid w:val="6EFC0924"/>
    <w:rsid w:val="6FB74722"/>
    <w:rsid w:val="6FEF8B7E"/>
    <w:rsid w:val="71A6591B"/>
    <w:rsid w:val="71A70DE9"/>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1649</Words>
  <Characters>1800</Characters>
  <Lines>69</Lines>
  <Paragraphs>19</Paragraphs>
  <TotalTime>2</TotalTime>
  <ScaleCrop>false</ScaleCrop>
  <LinksUpToDate>false</LinksUpToDate>
  <CharactersWithSpaces>2751</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蒋琼</cp:lastModifiedBy>
  <cp:lastPrinted>2024-08-10T02:20:00Z</cp:lastPrinted>
  <dcterms:modified xsi:type="dcterms:W3CDTF">2026-09-16T00:30:28Z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1CD02EDB9F0E4CAF8265F4A5A6B27606_13</vt:lpwstr>
  </property>
  <property fmtid="{D5CDD505-2E9C-101B-9397-08002B2CF9AE}" pid="4" name="KSOTemplateDocerSaveRecord">
    <vt:lpwstr>eyJoZGlkIjoiMDE2ODUxMTJmYjBkM2I3MjU4OGIxYjU2NWM2MDJmY2YiLCJ1c2VySWQiOiI0MDM5NjI0NTkifQ==</vt:lpwstr>
  </property>
</Properties>
</file>