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黑体" w:hAnsi="黑体" w:eastAsia="黑体"/>
          <w:sz w:val="36"/>
          <w:szCs w:val="36"/>
        </w:rPr>
      </w:pPr>
      <w:r>
        <w:rPr>
          <w:rFonts w:hint="eastAsia" w:ascii="黑体" w:hAnsi="黑体" w:eastAsia="黑体"/>
          <w:sz w:val="36"/>
          <w:szCs w:val="36"/>
          <w:lang w:eastAsia="zh-CN"/>
        </w:rPr>
        <w:t>道县</w:t>
      </w:r>
      <w:r>
        <w:rPr>
          <w:rFonts w:hint="eastAsia" w:ascii="黑体" w:hAnsi="黑体" w:eastAsia="黑体"/>
          <w:sz w:val="36"/>
          <w:szCs w:val="36"/>
          <w:lang w:val="en-US" w:eastAsia="zh-CN"/>
        </w:rPr>
        <w:t>残疾人联合会</w:t>
      </w:r>
      <w:r>
        <w:rPr>
          <w:rFonts w:hint="eastAsia" w:ascii="黑体" w:hAnsi="黑体" w:eastAsia="黑体"/>
          <w:sz w:val="36"/>
          <w:szCs w:val="36"/>
        </w:rPr>
        <w:t>20</w:t>
      </w:r>
      <w:r>
        <w:rPr>
          <w:rFonts w:hint="eastAsia" w:ascii="黑体" w:hAnsi="黑体" w:eastAsia="黑体"/>
          <w:sz w:val="36"/>
          <w:szCs w:val="36"/>
          <w:lang w:val="en-US" w:eastAsia="zh-CN"/>
        </w:rPr>
        <w:t>25</w:t>
      </w:r>
      <w:r>
        <w:rPr>
          <w:rFonts w:hint="eastAsia" w:ascii="黑体" w:hAnsi="黑体" w:eastAsia="黑体"/>
          <w:sz w:val="36"/>
          <w:szCs w:val="36"/>
        </w:rPr>
        <w:t>年度部门整体</w:t>
      </w:r>
      <w:r>
        <w:rPr>
          <w:rFonts w:ascii="黑体" w:hAnsi="黑体" w:eastAsia="黑体"/>
          <w:sz w:val="36"/>
          <w:szCs w:val="36"/>
        </w:rPr>
        <w:t>支出绩效</w:t>
      </w:r>
    </w:p>
    <w:p>
      <w:pPr>
        <w:adjustRightInd w:val="0"/>
        <w:spacing w:line="600" w:lineRule="exact"/>
        <w:jc w:val="center"/>
        <w:rPr>
          <w:rFonts w:ascii="黑体" w:hAnsi="黑体" w:eastAsia="黑体"/>
          <w:sz w:val="36"/>
          <w:szCs w:val="36"/>
        </w:rPr>
      </w:pPr>
      <w:r>
        <w:rPr>
          <w:rFonts w:hint="eastAsia" w:ascii="黑体" w:hAnsi="黑体" w:eastAsia="黑体"/>
          <w:sz w:val="36"/>
          <w:szCs w:val="36"/>
        </w:rPr>
        <w:t>评价</w:t>
      </w:r>
      <w:r>
        <w:rPr>
          <w:rFonts w:ascii="黑体" w:hAnsi="黑体" w:eastAsia="黑体"/>
          <w:sz w:val="36"/>
          <w:szCs w:val="36"/>
        </w:rPr>
        <w:t>报告</w:t>
      </w:r>
    </w:p>
    <w:p>
      <w:pPr>
        <w:adjustRightInd w:val="0"/>
        <w:snapToGrid w:val="0"/>
        <w:spacing w:line="600" w:lineRule="exact"/>
        <w:ind w:firstLine="640" w:firstLineChars="200"/>
        <w:rPr>
          <w:rFonts w:eastAsia="黑体"/>
          <w:sz w:val="32"/>
          <w:szCs w:val="32"/>
        </w:rPr>
      </w:pPr>
    </w:p>
    <w:p>
      <w:pPr>
        <w:adjustRightInd w:val="0"/>
        <w:snapToGrid w:val="0"/>
        <w:spacing w:line="600" w:lineRule="exact"/>
        <w:ind w:firstLine="640" w:firstLineChars="200"/>
        <w:rPr>
          <w:rFonts w:hint="default" w:eastAsia="黑体"/>
          <w:sz w:val="32"/>
          <w:szCs w:val="32"/>
          <w:lang w:val="en-US" w:eastAsia="zh-CN"/>
        </w:rPr>
      </w:pPr>
      <w:r>
        <w:rPr>
          <w:rFonts w:hint="eastAsia" w:eastAsia="黑体"/>
          <w:sz w:val="32"/>
          <w:szCs w:val="32"/>
          <w:lang w:val="en-US" w:eastAsia="zh-CN"/>
        </w:rPr>
        <w:t>一、基本情况</w:t>
      </w:r>
    </w:p>
    <w:p>
      <w:pPr>
        <w:adjustRightInd w:val="0"/>
        <w:snapToGrid w:val="0"/>
        <w:spacing w:line="600" w:lineRule="exact"/>
        <w:ind w:firstLine="640" w:firstLineChars="200"/>
        <w:rPr>
          <w:rFonts w:eastAsia="黑体"/>
          <w:sz w:val="32"/>
          <w:szCs w:val="32"/>
        </w:rPr>
      </w:pPr>
      <w:r>
        <w:rPr>
          <w:rFonts w:hint="eastAsia" w:eastAsia="黑体"/>
          <w:sz w:val="32"/>
          <w:szCs w:val="32"/>
          <w:lang w:eastAsia="zh-CN"/>
        </w:rPr>
        <w:t>（</w:t>
      </w:r>
      <w:r>
        <w:rPr>
          <w:rFonts w:hint="eastAsia" w:eastAsia="黑体"/>
          <w:sz w:val="32"/>
          <w:szCs w:val="32"/>
          <w:lang w:val="en-US" w:eastAsia="zh-CN"/>
        </w:rPr>
        <w:t>一）</w:t>
      </w:r>
      <w:r>
        <w:rPr>
          <w:rFonts w:hint="eastAsia" w:eastAsia="黑体"/>
          <w:sz w:val="32"/>
          <w:szCs w:val="32"/>
        </w:rPr>
        <w:t>部门</w:t>
      </w:r>
      <w:r>
        <w:rPr>
          <w:rFonts w:eastAsia="黑体"/>
          <w:sz w:val="32"/>
          <w:szCs w:val="32"/>
        </w:rPr>
        <w:t>概况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道县残疾人联合会是正科级全额拨款社会团体，实有编制人员11人，其中公务员3人，管理人员4人，专业技术人员1人，工勤人员3人，合计1人，机动车辆1台。</w:t>
      </w:r>
    </w:p>
    <w:p>
      <w:pPr>
        <w:adjustRightInd w:val="0"/>
        <w:snapToGrid w:val="0"/>
        <w:spacing w:line="60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（二）</w:t>
      </w:r>
      <w:r>
        <w:rPr>
          <w:rFonts w:hint="eastAsia" w:ascii="Times New Roman" w:hAnsi="Times New Roman" w:eastAsia="黑体" w:cs="Times New Roman"/>
          <w:sz w:val="32"/>
          <w:szCs w:val="32"/>
        </w:rPr>
        <w:t>部门（单位）年度整体支出绩效目标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目标1：完成残疾人实用技术培训；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目标2：开展残疾人精准康复工作（基本康复服务与辅助器具适配）；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目标3：开展贫困残疾人上门评残工作；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目标4：开展困难残疾人家庭无障碍改造工作；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目标5：开展残疾人创业扶持工作；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目标6：做好残疾人托养工作；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目标7：完成残疾人大学生、贫困残疾人家庭子女大学生、中专生、高中生补助工作；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目标8：开展残疾儿童康复救助工作；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目标9：做好困难残疾人家庭无障碍改造工作。</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b/>
          <w:bCs/>
          <w:sz w:val="32"/>
          <w:szCs w:val="32"/>
        </w:rPr>
      </w:pPr>
      <w:r>
        <w:rPr>
          <w:rFonts w:hint="eastAsia"/>
          <w:b/>
          <w:bCs/>
          <w:sz w:val="32"/>
          <w:szCs w:val="32"/>
          <w:lang w:val="en-US" w:eastAsia="zh-CN"/>
        </w:rPr>
        <w:t>二、</w:t>
      </w:r>
      <w:r>
        <w:rPr>
          <w:rFonts w:hint="eastAsia"/>
          <w:b/>
          <w:bCs/>
          <w:sz w:val="32"/>
          <w:szCs w:val="32"/>
        </w:rPr>
        <w:t>一般公共预算支出情况</w:t>
      </w:r>
    </w:p>
    <w:p>
      <w:pPr>
        <w:keepNext w:val="0"/>
        <w:keepLines w:val="0"/>
        <w:widowControl/>
        <w:suppressLineNumbers w:val="0"/>
        <w:spacing w:before="0" w:beforeAutospacing="0" w:after="2" w:afterAutospacing="0"/>
        <w:ind w:left="0" w:right="0" w:firstLine="628"/>
        <w:rPr>
          <w:rFonts w:hint="default" w:ascii="仿宋_GB2312" w:hAnsi="黑体" w:eastAsia="仿宋_GB2312" w:cs="Times New Roman"/>
          <w:sz w:val="32"/>
          <w:szCs w:val="32"/>
          <w:lang w:val="en-US" w:eastAsia="zh-CN"/>
        </w:rPr>
      </w:pPr>
      <w:r>
        <w:rPr>
          <w:rFonts w:hint="eastAsia" w:ascii="仿宋_GB2312" w:hAnsi="黑体" w:eastAsia="仿宋_GB2312" w:cs="Times New Roman"/>
          <w:sz w:val="32"/>
          <w:szCs w:val="32"/>
          <w:lang w:eastAsia="zh-CN"/>
        </w:rPr>
        <w:t>（</w:t>
      </w:r>
      <w:r>
        <w:rPr>
          <w:rFonts w:hint="eastAsia" w:ascii="仿宋_GB2312" w:hAnsi="黑体" w:eastAsia="仿宋_GB2312" w:cs="Times New Roman"/>
          <w:sz w:val="32"/>
          <w:szCs w:val="32"/>
          <w:lang w:val="en-US" w:eastAsia="zh-CN"/>
        </w:rPr>
        <w:t>一）</w:t>
      </w:r>
      <w:r>
        <w:rPr>
          <w:rFonts w:hint="eastAsia" w:ascii="仿宋_GB2312" w:hAnsi="黑体" w:eastAsia="仿宋_GB2312" w:cs="Times New Roman"/>
          <w:sz w:val="32"/>
          <w:szCs w:val="32"/>
        </w:rPr>
        <w:t>基本支出情况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2025年度财政拨款基本支出150.35万元，其中：工资福利支出127.94 万元，主要包括基本工资48.84万元、津贴补贴25.33万元、绩效工资17.39万元、奖金9.11万元、机关事业单位基本养老保险费12.09万元、职工基本医疗保险缴费6.98万元、住房公积金 8.23万元；一般商品和服务支出20.41万元，主要包括办公费4.47    万，工会经费   3.89万，福利费3.06万、公务用车运行费用1 万，差旅费0.55万、维修费0.5万、其他交通费用4.74万、其他商品服务支出2.18万；对个人和家庭的补助费用2万，其中生活补助2万</w:t>
      </w:r>
    </w:p>
    <w:p>
      <w:pPr>
        <w:keepNext w:val="0"/>
        <w:keepLines w:val="0"/>
        <w:pageBreakBefore w:val="0"/>
        <w:numPr>
          <w:ilvl w:val="0"/>
          <w:numId w:val="1"/>
        </w:numPr>
        <w:kinsoku/>
        <w:wordWrap/>
        <w:overflowPunct/>
        <w:topLinePunct w:val="0"/>
        <w:autoSpaceDE/>
        <w:autoSpaceDN/>
        <w:bidi w:val="0"/>
        <w:adjustRightInd/>
        <w:snapToGrid/>
        <w:spacing w:line="360" w:lineRule="auto"/>
        <w:ind w:left="210" w:leftChars="0"/>
        <w:textAlignment w:val="auto"/>
        <w:rPr>
          <w:rFonts w:hint="eastAsia"/>
          <w:sz w:val="28"/>
          <w:szCs w:val="28"/>
          <w:highlight w:val="none"/>
        </w:rPr>
      </w:pPr>
      <w:r>
        <w:rPr>
          <w:rFonts w:hint="eastAsia"/>
          <w:sz w:val="28"/>
          <w:szCs w:val="28"/>
          <w:highlight w:val="none"/>
        </w:rPr>
        <w:t>项目支出情况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2025年度项目支出822.94万元。其中社会保障和就业支出485.12万，其他支出337.82万。</w:t>
      </w:r>
    </w:p>
    <w:p>
      <w:pPr>
        <w:snapToGrid w:val="0"/>
        <w:spacing w:line="520" w:lineRule="exact"/>
        <w:ind w:firstLine="560" w:firstLineChars="200"/>
        <w:rPr>
          <w:rFonts w:hint="default"/>
          <w:b/>
          <w:bCs/>
          <w:sz w:val="40"/>
          <w:szCs w:val="40"/>
          <w:lang w:val="en-US" w:eastAsia="zh-CN"/>
        </w:rPr>
      </w:pPr>
      <w:r>
        <w:rPr>
          <w:rFonts w:hint="eastAsia"/>
          <w:b w:val="0"/>
          <w:bCs w:val="0"/>
          <w:sz w:val="28"/>
          <w:szCs w:val="28"/>
          <w:lang w:val="en-US" w:eastAsia="zh-CN"/>
        </w:rPr>
        <w:t>三、</w:t>
      </w:r>
      <w:r>
        <w:rPr>
          <w:rFonts w:hint="default"/>
          <w:b/>
          <w:bCs/>
          <w:sz w:val="40"/>
          <w:szCs w:val="40"/>
          <w:lang w:val="en-US" w:eastAsia="zh-CN"/>
        </w:rPr>
        <w:t>政府性基金预算支出情况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道县残疾人联合会2025年度政府性基金预算47.07万元。</w:t>
      </w:r>
    </w:p>
    <w:p>
      <w:pPr>
        <w:numPr>
          <w:ilvl w:val="0"/>
          <w:numId w:val="0"/>
        </w:numPr>
        <w:ind w:left="210" w:leftChars="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四、国有资本经营预算支出情况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道县残疾人联合会2025年度无涉及国有资本经营的预算支出。</w:t>
      </w:r>
    </w:p>
    <w:p>
      <w:pPr>
        <w:keepNext w:val="0"/>
        <w:keepLines w:val="0"/>
        <w:pageBreakBefore w:val="0"/>
        <w:numPr>
          <w:ilvl w:val="0"/>
          <w:numId w:val="0"/>
        </w:numPr>
        <w:kinsoku/>
        <w:wordWrap/>
        <w:overflowPunct/>
        <w:topLinePunct w:val="0"/>
        <w:autoSpaceDE/>
        <w:autoSpaceDN/>
        <w:bidi w:val="0"/>
        <w:adjustRightInd/>
        <w:snapToGrid/>
        <w:spacing w:line="360" w:lineRule="auto"/>
        <w:ind w:left="210" w:leftChars="0"/>
        <w:textAlignment w:val="auto"/>
        <w:rPr>
          <w:rFonts w:hint="eastAsia"/>
          <w:b/>
          <w:bCs/>
          <w:sz w:val="32"/>
          <w:szCs w:val="32"/>
        </w:rPr>
      </w:pPr>
      <w:r>
        <w:rPr>
          <w:rFonts w:hint="eastAsia"/>
          <w:b/>
          <w:bCs/>
          <w:sz w:val="32"/>
          <w:szCs w:val="32"/>
          <w:lang w:val="en-US" w:eastAsia="zh-CN"/>
        </w:rPr>
        <w:t>五、</w:t>
      </w:r>
      <w:r>
        <w:rPr>
          <w:rFonts w:hint="eastAsia"/>
          <w:b/>
          <w:bCs/>
          <w:sz w:val="32"/>
          <w:szCs w:val="32"/>
        </w:rPr>
        <w:t>社会保险基金预算支出情况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道县残疾人联合会2025年无涉及社会保险基金预算支出。</w:t>
      </w:r>
    </w:p>
    <w:p>
      <w:pPr>
        <w:keepNext w:val="0"/>
        <w:keepLines w:val="0"/>
        <w:pageBreakBefore w:val="0"/>
        <w:numPr>
          <w:ilvl w:val="0"/>
          <w:numId w:val="2"/>
        </w:numPr>
        <w:kinsoku/>
        <w:wordWrap/>
        <w:overflowPunct/>
        <w:topLinePunct w:val="0"/>
        <w:autoSpaceDE/>
        <w:autoSpaceDN/>
        <w:bidi w:val="0"/>
        <w:adjustRightInd/>
        <w:snapToGrid/>
        <w:spacing w:line="360" w:lineRule="auto"/>
        <w:ind w:left="210" w:leftChars="0"/>
        <w:textAlignment w:val="auto"/>
        <w:rPr>
          <w:rFonts w:hint="default"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lang w:val="en-US" w:eastAsia="zh-CN"/>
        </w:rPr>
        <w:t>部门整体支出绩效情况</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 保障体系更趋完善</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严格落实残疾人两项补贴政策，实现困难残疾人生活补贴与重度残疾人护理补贴“应保尽保”，补贴</w:t>
      </w:r>
      <w:r>
        <w:rPr>
          <w:rFonts w:hint="eastAsia" w:ascii="仿宋_GB2312" w:hAnsi="仿宋_GB2312" w:eastAsia="仿宋_GB2312" w:cs="仿宋_GB2312"/>
          <w:color w:val="auto"/>
          <w:sz w:val="32"/>
          <w:szCs w:val="32"/>
          <w:lang w:eastAsia="zh-CN"/>
        </w:rPr>
        <w:t>标准逐年提高</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惠及人数稳步增长。残疾人城乡居民基本养老保险、基本医疗保险参保率分别稳定在90%、95%以上，最低生活保障等社会救助政策全面覆盖困难群体，守住了不发生规模性返贫的底线。</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 就业增收成效</w:t>
      </w:r>
      <w:r>
        <w:rPr>
          <w:rFonts w:hint="eastAsia" w:ascii="仿宋_GB2312" w:hAnsi="仿宋_GB2312" w:eastAsia="仿宋_GB2312" w:cs="仿宋_GB2312"/>
          <w:b/>
          <w:bCs/>
          <w:color w:val="auto"/>
          <w:sz w:val="32"/>
          <w:szCs w:val="32"/>
          <w:lang w:eastAsia="zh-CN"/>
        </w:rPr>
        <w:t>明</w:t>
      </w:r>
      <w:r>
        <w:rPr>
          <w:rFonts w:hint="eastAsia" w:ascii="仿宋_GB2312" w:hAnsi="仿宋_GB2312" w:eastAsia="仿宋_GB2312" w:cs="仿宋_GB2312"/>
          <w:b/>
          <w:bCs/>
          <w:color w:val="auto"/>
          <w:sz w:val="32"/>
          <w:szCs w:val="32"/>
        </w:rPr>
        <w:t>显</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深入实施促进残疾人就业三年行动，通过“阳光</w:t>
      </w:r>
      <w:r>
        <w:rPr>
          <w:rFonts w:hint="eastAsia" w:ascii="仿宋_GB2312" w:hAnsi="仿宋_GB2312" w:eastAsia="仿宋_GB2312" w:cs="仿宋_GB2312"/>
          <w:color w:val="auto"/>
          <w:sz w:val="32"/>
          <w:szCs w:val="32"/>
          <w:lang w:val="en-US" w:eastAsia="zh-CN"/>
        </w:rPr>
        <w:t>增收</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创业扶持</w:t>
      </w:r>
      <w:r>
        <w:rPr>
          <w:rFonts w:hint="eastAsia" w:ascii="仿宋_GB2312" w:hAnsi="仿宋_GB2312" w:eastAsia="仿宋_GB2312" w:cs="仿宋_GB2312"/>
          <w:color w:val="auto"/>
          <w:sz w:val="32"/>
          <w:szCs w:val="32"/>
        </w:rPr>
        <w:t>等项目带动，累计扶持残疾人创业就业超</w:t>
      </w:r>
      <w:r>
        <w:rPr>
          <w:rFonts w:hint="eastAsia" w:ascii="仿宋_GB2312" w:hAnsi="仿宋_GB2312" w:eastAsia="仿宋_GB2312" w:cs="仿宋_GB2312"/>
          <w:color w:val="auto"/>
          <w:sz w:val="32"/>
          <w:szCs w:val="32"/>
          <w:lang w:val="en-US" w:eastAsia="zh-CN"/>
        </w:rPr>
        <w:t>90</w:t>
      </w:r>
      <w:r>
        <w:rPr>
          <w:rFonts w:hint="eastAsia" w:ascii="仿宋_GB2312" w:hAnsi="仿宋_GB2312" w:eastAsia="仿宋_GB2312" w:cs="仿宋_GB2312"/>
          <w:color w:val="auto"/>
          <w:sz w:val="32"/>
          <w:szCs w:val="32"/>
        </w:rPr>
        <w:t>人次，开展职业技能与农村实用技术培训</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期，培训残疾人</w:t>
      </w:r>
      <w:r>
        <w:rPr>
          <w:rFonts w:hint="eastAsia" w:ascii="仿宋_GB2312" w:hAnsi="仿宋_GB2312" w:eastAsia="仿宋_GB2312" w:cs="仿宋_GB2312"/>
          <w:color w:val="auto"/>
          <w:sz w:val="32"/>
          <w:szCs w:val="32"/>
          <w:lang w:val="en-US" w:eastAsia="zh-CN"/>
        </w:rPr>
        <w:t>484</w:t>
      </w:r>
      <w:r>
        <w:rPr>
          <w:rFonts w:hint="eastAsia" w:ascii="仿宋_GB2312" w:hAnsi="仿宋_GB2312" w:eastAsia="仿宋_GB2312" w:cs="仿宋_GB2312"/>
          <w:color w:val="auto"/>
          <w:sz w:val="32"/>
          <w:szCs w:val="32"/>
        </w:rPr>
        <w:t>名。积极对接外部企业搭建用工桥梁，推动残疾人多渠道就业。</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 康复服务提质扩面</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残疾儿童康复救助实现“应救尽救”，为</w:t>
      </w:r>
      <w:r>
        <w:rPr>
          <w:rFonts w:hint="eastAsia" w:ascii="仿宋_GB2312" w:hAnsi="仿宋_GB2312" w:eastAsia="仿宋_GB2312" w:cs="仿宋_GB2312"/>
          <w:color w:val="auto"/>
          <w:sz w:val="32"/>
          <w:szCs w:val="32"/>
          <w:lang w:val="en-US" w:eastAsia="zh-CN"/>
        </w:rPr>
        <w:t>854</w:t>
      </w:r>
      <w:r>
        <w:rPr>
          <w:rFonts w:hint="eastAsia" w:ascii="仿宋_GB2312" w:hAnsi="仿宋_GB2312" w:eastAsia="仿宋_GB2312" w:cs="仿宋_GB2312"/>
          <w:color w:val="auto"/>
          <w:sz w:val="32"/>
          <w:szCs w:val="32"/>
        </w:rPr>
        <w:t>名残疾儿童提供免费康复训练，规范康复定点机构管理，提升服务专业化水平。</w:t>
      </w:r>
      <w:r>
        <w:rPr>
          <w:rFonts w:hint="eastAsia" w:ascii="仿宋_GB2312" w:hAnsi="仿宋_GB2312" w:eastAsia="仿宋_GB2312" w:cs="仿宋_GB2312"/>
          <w:color w:val="auto"/>
          <w:sz w:val="32"/>
          <w:szCs w:val="32"/>
          <w:lang w:eastAsia="zh-CN"/>
        </w:rPr>
        <w:t>实施残疾人辅助器具适配补贴制度，</w:t>
      </w:r>
      <w:r>
        <w:rPr>
          <w:rFonts w:hint="eastAsia" w:ascii="仿宋_GB2312" w:hAnsi="仿宋_GB2312" w:eastAsia="仿宋_GB2312" w:cs="仿宋_GB2312"/>
          <w:color w:val="auto"/>
          <w:sz w:val="32"/>
          <w:szCs w:val="32"/>
        </w:rPr>
        <w:t>基本康复服务、辅助器具适配服务覆盖率稳定在85%以上，通过辅具适配、矫形器适配及免费租赁等方式，切实解决群众实际需求。</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4. 民生服务持续优化</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完成</w:t>
      </w:r>
      <w:r>
        <w:rPr>
          <w:rFonts w:hint="eastAsia" w:ascii="仿宋_GB2312" w:hAnsi="仿宋_GB2312" w:eastAsia="仿宋_GB2312" w:cs="仿宋_GB2312"/>
          <w:color w:val="auto"/>
          <w:sz w:val="32"/>
          <w:szCs w:val="32"/>
          <w:lang w:val="en-US" w:eastAsia="zh-CN"/>
        </w:rPr>
        <w:t>609</w:t>
      </w:r>
      <w:r>
        <w:rPr>
          <w:rFonts w:hint="eastAsia" w:ascii="仿宋_GB2312" w:hAnsi="仿宋_GB2312" w:eastAsia="仿宋_GB2312" w:cs="仿宋_GB2312"/>
          <w:color w:val="auto"/>
          <w:sz w:val="32"/>
          <w:szCs w:val="32"/>
        </w:rPr>
        <w:t>户困难重度残疾人家庭无障碍改造，超额达成规划目标。</w:t>
      </w:r>
      <w:r>
        <w:rPr>
          <w:rFonts w:hint="eastAsia" w:ascii="仿宋_GB2312" w:hAnsi="仿宋_GB2312" w:eastAsia="仿宋_GB2312" w:cs="仿宋_GB2312"/>
          <w:color w:val="auto"/>
          <w:sz w:val="32"/>
          <w:szCs w:val="32"/>
          <w:lang w:eastAsia="zh-CN"/>
        </w:rPr>
        <w:t>残疾人综合服务设施逐渐完善，</w:t>
      </w:r>
      <w:r>
        <w:rPr>
          <w:rFonts w:hint="eastAsia" w:ascii="仿宋_GB2312" w:hAnsi="仿宋_GB2312" w:eastAsia="仿宋_GB2312" w:cs="仿宋_GB2312"/>
          <w:color w:val="auto"/>
          <w:sz w:val="32"/>
          <w:szCs w:val="32"/>
          <w:lang w:val="en-US" w:eastAsia="zh-CN"/>
        </w:rPr>
        <w:t>道县残疾人康复托养中心于2023年底投入使用，</w:t>
      </w:r>
      <w:r>
        <w:rPr>
          <w:rFonts w:hint="eastAsia" w:ascii="仿宋_GB2312" w:hAnsi="仿宋_GB2312" w:eastAsia="仿宋_GB2312" w:cs="仿宋_GB2312"/>
          <w:color w:val="auto"/>
          <w:sz w:val="32"/>
          <w:szCs w:val="32"/>
        </w:rPr>
        <w:t>为智力、精神和重度肢体残疾人提供专业托养服务，托养服务覆盖率显著提升。</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rPr>
        <w:t>“上门+”服务模式覆盖评残办证、技能培训等重点领域。</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5. 教育权益充分保障</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落实特殊教育提升计划，适龄残疾儿童义务教育入学率达97%，建立精准资助机制，确保高等教育及中等职业教育阶段</w:t>
      </w:r>
      <w:r>
        <w:rPr>
          <w:rFonts w:hint="eastAsia" w:ascii="仿宋_GB2312" w:hAnsi="仿宋_GB2312" w:eastAsia="仿宋_GB2312" w:cs="仿宋_GB2312"/>
          <w:color w:val="auto"/>
          <w:sz w:val="32"/>
          <w:szCs w:val="32"/>
          <w:lang w:val="en-US" w:eastAsia="zh-CN"/>
        </w:rPr>
        <w:t>及大学</w:t>
      </w:r>
      <w:r>
        <w:rPr>
          <w:rFonts w:hint="eastAsia" w:ascii="仿宋_GB2312" w:hAnsi="仿宋_GB2312" w:eastAsia="仿宋_GB2312" w:cs="仿宋_GB2312"/>
          <w:color w:val="auto"/>
          <w:sz w:val="32"/>
          <w:szCs w:val="32"/>
        </w:rPr>
        <w:t>残疾学生资助政策落地见效 。</w:t>
      </w:r>
    </w:p>
    <w:p>
      <w:pPr>
        <w:keepNext w:val="0"/>
        <w:keepLines w:val="0"/>
        <w:pageBreakBefore w:val="0"/>
        <w:widowControl/>
        <w:suppressLineNumbers w:val="0"/>
        <w:kinsoku/>
        <w:wordWrap/>
        <w:overflowPunct/>
        <w:topLinePunct w:val="0"/>
        <w:autoSpaceDE/>
        <w:autoSpaceDN/>
        <w:bidi w:val="0"/>
        <w:adjustRightInd/>
        <w:spacing w:line="540" w:lineRule="exact"/>
        <w:ind w:firstLine="643"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1.民生实事工作顺利推进。一是</w:t>
      </w:r>
      <w:r>
        <w:rPr>
          <w:rFonts w:hint="eastAsia" w:ascii="仿宋_GB2312" w:hAnsi="仿宋_GB2312" w:eastAsia="仿宋_GB2312" w:cs="仿宋_GB2312"/>
          <w:color w:val="auto"/>
          <w:kern w:val="0"/>
          <w:sz w:val="32"/>
          <w:szCs w:val="32"/>
          <w:lang w:val="en-US" w:eastAsia="zh-CN" w:bidi="ar-SA"/>
        </w:rPr>
        <w:t>超额完成残疾儿童康复救助工作。坚持应救尽救的原则对残疾儿童进行康复救助，2025年我县任务135名，截至9月，为257名残疾儿童提供康复救助，完成目标任务190.37%。</w:t>
      </w:r>
      <w:r>
        <w:rPr>
          <w:rFonts w:hint="eastAsia" w:ascii="仿宋_GB2312" w:hAnsi="仿宋_GB2312" w:eastAsia="仿宋_GB2312" w:cs="仿宋_GB2312"/>
          <w:b/>
          <w:bCs/>
          <w:color w:val="auto"/>
          <w:kern w:val="0"/>
          <w:sz w:val="32"/>
          <w:szCs w:val="32"/>
          <w:lang w:val="en-US" w:eastAsia="zh-CN" w:bidi="ar-SA"/>
        </w:rPr>
        <w:t>二是</w:t>
      </w:r>
      <w:r>
        <w:rPr>
          <w:rFonts w:hint="eastAsia" w:ascii="仿宋_GB2312" w:hAnsi="仿宋_GB2312" w:eastAsia="仿宋_GB2312" w:cs="仿宋_GB2312"/>
          <w:b w:val="0"/>
          <w:bCs w:val="0"/>
          <w:color w:val="auto"/>
          <w:kern w:val="0"/>
          <w:sz w:val="32"/>
          <w:szCs w:val="32"/>
          <w:lang w:val="en-US" w:eastAsia="zh-CN" w:bidi="ar-SA"/>
        </w:rPr>
        <w:t>扎实开展残疾人托养服务</w:t>
      </w:r>
      <w:r>
        <w:rPr>
          <w:rFonts w:hint="eastAsia" w:ascii="仿宋_GB2312" w:hAnsi="仿宋_GB2312" w:eastAsia="仿宋_GB2312" w:cs="仿宋_GB2312"/>
          <w:color w:val="auto"/>
          <w:kern w:val="0"/>
          <w:sz w:val="32"/>
          <w:szCs w:val="32"/>
          <w:lang w:val="en-US" w:eastAsia="zh-CN" w:bidi="ar-SA"/>
        </w:rPr>
        <w:t>，2025年我县民生实事托养服务任务151人，截止9月，完成108.18%。</w:t>
      </w:r>
    </w:p>
    <w:p>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2.残疾人保障体系日趋完善。一是</w:t>
      </w:r>
      <w:r>
        <w:rPr>
          <w:rFonts w:hint="eastAsia" w:ascii="仿宋_GB2312" w:hAnsi="仿宋_GB2312" w:eastAsia="仿宋_GB2312" w:cs="仿宋_GB2312"/>
          <w:color w:val="auto"/>
          <w:sz w:val="32"/>
          <w:szCs w:val="32"/>
        </w:rPr>
        <w:t>持续深化残疾人社会保障和关爱服务体系建设，</w:t>
      </w:r>
      <w:r>
        <w:rPr>
          <w:rFonts w:hint="eastAsia" w:ascii="仿宋_GB2312" w:hAnsi="仿宋_GB2312" w:eastAsia="仿宋_GB2312" w:cs="仿宋_GB2312"/>
          <w:color w:val="auto"/>
          <w:sz w:val="32"/>
          <w:szCs w:val="32"/>
          <w:lang w:eastAsia="zh-CN"/>
        </w:rPr>
        <w:t>启动困难残疾人集中照护工作，</w:t>
      </w:r>
      <w:r>
        <w:rPr>
          <w:rFonts w:hint="eastAsia" w:ascii="仿宋_GB2312" w:hAnsi="仿宋_GB2312" w:eastAsia="仿宋_GB2312" w:cs="仿宋_GB2312"/>
          <w:color w:val="auto"/>
          <w:sz w:val="32"/>
          <w:szCs w:val="32"/>
        </w:rPr>
        <w:t>兜底保障水平不断提升。2025年5月，</w:t>
      </w:r>
      <w:r>
        <w:rPr>
          <w:rFonts w:hint="eastAsia" w:ascii="仿宋_GB2312" w:hAnsi="仿宋_GB2312" w:eastAsia="仿宋_GB2312" w:cs="仿宋_GB2312"/>
          <w:color w:val="auto"/>
          <w:sz w:val="32"/>
          <w:szCs w:val="32"/>
          <w:lang w:eastAsia="zh-CN"/>
        </w:rPr>
        <w:t>出台了</w:t>
      </w:r>
      <w:r>
        <w:rPr>
          <w:rFonts w:hint="eastAsia" w:ascii="仿宋_GB2312" w:hAnsi="仿宋_GB2312" w:eastAsia="仿宋_GB2312" w:cs="仿宋_GB2312"/>
          <w:color w:val="auto"/>
          <w:sz w:val="32"/>
          <w:szCs w:val="32"/>
        </w:rPr>
        <w:t>《道县困难重度残疾人集中照护实施方案（暂行）》，进一步健全困难重度残疾人照护服务机制，切实提升特殊群体的获得感和幸福感。</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开展残疾人基本状况调查。对全县14863名残疾人正在进行基本状况调查工作。</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kern w:val="0"/>
          <w:sz w:val="32"/>
          <w:szCs w:val="32"/>
          <w:lang w:val="en-US" w:eastAsia="zh-CN" w:bidi="ar-SA"/>
        </w:rPr>
        <w:t>举办“阳光增收”实用技术培训班，培训残疾人84名，提高残疾人就业技能，辅以生产物资扶持，促进残疾人就业，家庭增收。</w:t>
      </w:r>
      <w:r>
        <w:rPr>
          <w:rFonts w:hint="eastAsia" w:ascii="仿宋_GB2312" w:hAnsi="仿宋_GB2312" w:eastAsia="仿宋_GB2312" w:cs="仿宋_GB2312"/>
          <w:b/>
          <w:bCs/>
          <w:color w:val="auto"/>
          <w:kern w:val="0"/>
          <w:sz w:val="32"/>
          <w:szCs w:val="32"/>
          <w:lang w:val="en-US" w:eastAsia="zh-CN" w:bidi="ar-SA"/>
        </w:rPr>
        <w:t>四是</w:t>
      </w:r>
      <w:r>
        <w:rPr>
          <w:rFonts w:hint="eastAsia" w:ascii="仿宋_GB2312" w:hAnsi="仿宋_GB2312" w:eastAsia="仿宋_GB2312" w:cs="仿宋_GB2312"/>
          <w:color w:val="auto"/>
          <w:sz w:val="32"/>
          <w:szCs w:val="32"/>
          <w:lang w:val="en-US" w:eastAsia="zh-CN"/>
        </w:rPr>
        <w:t>积极推进无障碍环境建设，帮助35户困难重度残疾人实施家庭无障碍改造，改善出行和生活环境，提高残疾人的幸福感、获得感、安全感。</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eastAsia="宋体" w:cs="Times New Roman"/>
          <w:b/>
          <w:bCs/>
          <w:sz w:val="32"/>
          <w:szCs w:val="32"/>
          <w:lang w:val="en-US" w:eastAsia="zh-CN"/>
        </w:rPr>
      </w:pPr>
      <w:r>
        <w:rPr>
          <w:rFonts w:hint="eastAsia" w:ascii="仿宋_GB2312" w:hAnsi="仿宋_GB2312" w:eastAsia="仿宋_GB2312" w:cs="仿宋_GB2312"/>
          <w:b/>
          <w:bCs/>
          <w:color w:val="auto"/>
          <w:kern w:val="0"/>
          <w:sz w:val="32"/>
          <w:szCs w:val="32"/>
          <w:lang w:val="en-US" w:eastAsia="zh-CN" w:bidi="ar-SA"/>
        </w:rPr>
        <w:t>3.残疾人教育就业稳步推进。一是</w:t>
      </w:r>
      <w:r>
        <w:rPr>
          <w:rFonts w:hint="eastAsia" w:ascii="仿宋_GB2312" w:hAnsi="仿宋_GB2312" w:eastAsia="仿宋_GB2312" w:cs="仿宋_GB2312"/>
          <w:color w:val="auto"/>
          <w:kern w:val="0"/>
          <w:sz w:val="32"/>
          <w:szCs w:val="32"/>
          <w:lang w:val="en-US" w:eastAsia="zh-CN" w:bidi="ar-SA"/>
        </w:rPr>
        <w:t>开展了“2025年就业援助月”活动暨“春风行动”，组织专场招聘会5场次，组织残疾人参与人社等部门开展的招聘会2场，提供残疾人适合的岗位20个，帮助8名残疾人实现就业。</w:t>
      </w:r>
      <w:r>
        <w:rPr>
          <w:rFonts w:hint="eastAsia" w:ascii="仿宋_GB2312" w:hAnsi="仿宋_GB2312" w:eastAsia="仿宋_GB2312" w:cs="仿宋_GB2312"/>
          <w:b/>
          <w:bCs/>
          <w:color w:val="auto"/>
          <w:kern w:val="0"/>
          <w:sz w:val="32"/>
          <w:szCs w:val="32"/>
          <w:lang w:val="en-US" w:eastAsia="zh-CN" w:bidi="ar-SA"/>
        </w:rPr>
        <w:t>二是</w:t>
      </w:r>
      <w:r>
        <w:rPr>
          <w:rFonts w:hint="eastAsia" w:ascii="仿宋_GB2312" w:hAnsi="仿宋_GB2312" w:eastAsia="仿宋_GB2312" w:cs="仿宋_GB2312"/>
          <w:b w:val="0"/>
          <w:bCs w:val="0"/>
          <w:color w:val="auto"/>
          <w:kern w:val="0"/>
          <w:sz w:val="32"/>
          <w:szCs w:val="32"/>
          <w:lang w:val="en-US" w:eastAsia="zh-CN" w:bidi="ar-SA"/>
        </w:rPr>
        <w:t>开展</w:t>
      </w:r>
      <w:r>
        <w:rPr>
          <w:rFonts w:hint="eastAsia" w:ascii="仿宋_GB2312" w:hAnsi="仿宋_GB2312" w:eastAsia="仿宋_GB2312" w:cs="仿宋_GB2312"/>
          <w:color w:val="auto"/>
          <w:kern w:val="0"/>
          <w:sz w:val="32"/>
          <w:szCs w:val="32"/>
          <w:lang w:val="en-US" w:eastAsia="zh-CN" w:bidi="ar-SA"/>
        </w:rPr>
        <w:t>按比例安排残疾人就业年审工作，通过线上线下相结合，对全县370 家机关事业单位和企业进行年审，其中：安置残疾人单位89家,按比例安排残疾人就业159人。</w:t>
      </w:r>
      <w:r>
        <w:rPr>
          <w:rFonts w:hint="eastAsia" w:ascii="仿宋_GB2312" w:hAnsi="仿宋_GB2312" w:eastAsia="仿宋_GB2312" w:cs="仿宋_GB2312"/>
          <w:b/>
          <w:bCs/>
          <w:color w:val="auto"/>
          <w:kern w:val="0"/>
          <w:sz w:val="32"/>
          <w:szCs w:val="32"/>
          <w:lang w:val="en-US" w:eastAsia="zh-CN" w:bidi="ar-SA"/>
        </w:rPr>
        <w:t>三是</w:t>
      </w:r>
      <w:r>
        <w:rPr>
          <w:rFonts w:hint="eastAsia" w:ascii="仿宋_GB2312" w:hAnsi="仿宋_GB2312" w:eastAsia="仿宋_GB2312" w:cs="仿宋_GB2312"/>
          <w:b w:val="0"/>
          <w:bCs w:val="0"/>
          <w:color w:val="auto"/>
          <w:kern w:val="0"/>
          <w:sz w:val="32"/>
          <w:szCs w:val="32"/>
          <w:lang w:val="en-US" w:eastAsia="zh-CN" w:bidi="ar-SA"/>
        </w:rPr>
        <w:t>实施残疾人辅助器具适配补贴制度，</w:t>
      </w:r>
      <w:r>
        <w:rPr>
          <w:rFonts w:hint="eastAsia" w:ascii="仿宋_GB2312" w:hAnsi="仿宋_GB2312" w:eastAsia="仿宋_GB2312" w:cs="仿宋_GB2312"/>
          <w:color w:val="auto"/>
          <w:kern w:val="0"/>
          <w:sz w:val="32"/>
          <w:szCs w:val="32"/>
          <w:lang w:val="en-US" w:eastAsia="zh-CN" w:bidi="ar-SA"/>
        </w:rPr>
        <w:t>通过线上线下相结合开展残疾人康复器材适配服务，为有需要的残疾人发放辅助器具350余件。</w:t>
      </w:r>
      <w:r>
        <w:rPr>
          <w:rFonts w:hint="eastAsia" w:ascii="仿宋_GB2312" w:hAnsi="仿宋_GB2312" w:eastAsia="仿宋_GB2312" w:cs="仿宋_GB2312"/>
          <w:b/>
          <w:bCs/>
          <w:color w:val="auto"/>
          <w:kern w:val="0"/>
          <w:sz w:val="32"/>
          <w:szCs w:val="32"/>
          <w:lang w:val="en-US" w:eastAsia="zh-CN" w:bidi="ar-SA"/>
        </w:rPr>
        <w:t>四是</w:t>
      </w:r>
      <w:r>
        <w:rPr>
          <w:rFonts w:hint="eastAsia" w:ascii="仿宋_GB2312" w:hAnsi="仿宋_GB2312" w:eastAsia="仿宋_GB2312" w:cs="仿宋_GB2312"/>
          <w:color w:val="auto"/>
          <w:kern w:val="0"/>
          <w:sz w:val="32"/>
          <w:szCs w:val="32"/>
          <w:lang w:val="en-US" w:eastAsia="zh-CN" w:bidi="ar-SA"/>
        </w:rPr>
        <w:t>做好2025年春、秋学期适龄残疾儿童少年入学情况核查工作，与县教育局对2025年708名义务教育阶段适龄残疾儿童入学情况进行了数据对接，做好相关数据信息共享、修正和移交工作，配合做好入学安置和降比提质工作。</w:t>
      </w:r>
      <w:r>
        <w:rPr>
          <w:rFonts w:hint="eastAsia" w:ascii="仿宋_GB2312" w:hAnsi="仿宋_GB2312" w:eastAsia="仿宋_GB2312" w:cs="仿宋_GB2312"/>
          <w:b/>
          <w:bCs/>
          <w:color w:val="auto"/>
          <w:spacing w:val="-6"/>
          <w:sz w:val="32"/>
          <w:szCs w:val="32"/>
          <w:lang w:val="en-US" w:eastAsia="zh-CN" w:bidi="he-IL"/>
        </w:rPr>
        <w:t>五是</w:t>
      </w:r>
      <w:r>
        <w:rPr>
          <w:rFonts w:hint="eastAsia" w:ascii="仿宋_GB2312" w:hAnsi="仿宋_GB2312" w:eastAsia="仿宋_GB2312" w:cs="仿宋_GB2312"/>
          <w:b w:val="0"/>
          <w:bCs w:val="0"/>
          <w:color w:val="auto"/>
          <w:sz w:val="32"/>
          <w:szCs w:val="32"/>
          <w:shd w:val="clear" w:color="auto" w:fill="auto"/>
          <w:lang w:eastAsia="zh-CN"/>
        </w:rPr>
        <w:t>落实残疾学生及困难残疾人家庭子女教育资助，对</w:t>
      </w:r>
      <w:r>
        <w:rPr>
          <w:rFonts w:hint="eastAsia" w:ascii="仿宋_GB2312" w:hAnsi="仿宋_GB2312" w:eastAsia="仿宋_GB2312" w:cs="仿宋_GB2312"/>
          <w:b w:val="0"/>
          <w:bCs w:val="0"/>
          <w:color w:val="auto"/>
          <w:sz w:val="32"/>
          <w:szCs w:val="32"/>
          <w:shd w:val="clear" w:color="auto" w:fill="auto"/>
          <w:lang w:val="en-US" w:eastAsia="zh-CN"/>
        </w:rPr>
        <w:t>70名残疾学生及困难残疾人家庭子女进行教育资助。</w:t>
      </w:r>
      <w:r>
        <w:rPr>
          <w:rFonts w:hint="eastAsia" w:ascii="仿宋_GB2312" w:hAnsi="仿宋_GB2312" w:eastAsia="仿宋_GB2312" w:cs="仿宋_GB2312"/>
          <w:b/>
          <w:bCs/>
          <w:color w:val="auto"/>
          <w:kern w:val="0"/>
          <w:sz w:val="32"/>
          <w:szCs w:val="32"/>
          <w:lang w:val="en-US" w:eastAsia="zh-CN" w:bidi="ar-SA"/>
        </w:rPr>
        <w:t>六是</w:t>
      </w:r>
      <w:r>
        <w:rPr>
          <w:rFonts w:hint="eastAsia" w:ascii="仿宋_GB2312" w:hAnsi="仿宋_GB2312" w:eastAsia="仿宋_GB2312" w:cs="仿宋_GB2312"/>
          <w:color w:val="auto"/>
          <w:kern w:val="0"/>
          <w:sz w:val="32"/>
          <w:szCs w:val="32"/>
          <w:lang w:val="en-US" w:eastAsia="zh-CN" w:bidi="ar-SA"/>
        </w:rPr>
        <w:t>完成“两项补贴”提标。积极与民政、财政部门配合，完成全县困难残疾人生活补贴和重度残疾人护理补贴发放标准每人每年分别提高到不低于1200元(不低于100元/人/月)的任务。</w:t>
      </w:r>
    </w:p>
    <w:p>
      <w:pPr>
        <w:keepNext w:val="0"/>
        <w:keepLines w:val="0"/>
        <w:pageBreakBefore w:val="0"/>
        <w:numPr>
          <w:ilvl w:val="0"/>
          <w:numId w:val="0"/>
        </w:numPr>
        <w:kinsoku/>
        <w:wordWrap/>
        <w:overflowPunct/>
        <w:topLinePunct w:val="0"/>
        <w:autoSpaceDE/>
        <w:autoSpaceDN/>
        <w:bidi w:val="0"/>
        <w:adjustRightInd/>
        <w:snapToGrid/>
        <w:spacing w:line="360" w:lineRule="auto"/>
        <w:ind w:firstLine="321" w:firstLineChars="100"/>
        <w:textAlignment w:val="auto"/>
        <w:rPr>
          <w:rFonts w:hint="eastAsia"/>
          <w:b/>
          <w:bCs/>
          <w:sz w:val="32"/>
          <w:szCs w:val="32"/>
        </w:rPr>
      </w:pPr>
      <w:r>
        <w:rPr>
          <w:rFonts w:hint="eastAsia"/>
          <w:b/>
          <w:bCs/>
          <w:sz w:val="32"/>
          <w:szCs w:val="32"/>
          <w:lang w:val="en-US" w:eastAsia="zh-CN"/>
        </w:rPr>
        <w:t>七、</w:t>
      </w:r>
      <w:r>
        <w:rPr>
          <w:rFonts w:hint="eastAsia"/>
          <w:b/>
          <w:bCs/>
          <w:sz w:val="32"/>
          <w:szCs w:val="32"/>
        </w:rPr>
        <w:t>存在的问题及原因分析</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2025年执行及绩效管理期间，我单位认真执行中央、省和市、县安排的财政资金的使用及监管；没有违反规定改变资金使用范围和投向；没有违反资金分配、拨付和扶贫项目立项、审批的程序；没有截留、挤占、挪用、贪污和骗取资金的现象。但也存在一些不足之处，如缺少短期规划，不利于整体目标的落实；绩效管理意识还不够强，绩效管理机制还不够完善。</w:t>
      </w:r>
    </w:p>
    <w:p>
      <w:pPr>
        <w:keepNext w:val="0"/>
        <w:keepLines w:val="0"/>
        <w:pageBreakBefore w:val="0"/>
        <w:numPr>
          <w:ilvl w:val="0"/>
          <w:numId w:val="0"/>
        </w:numPr>
        <w:kinsoku/>
        <w:wordWrap/>
        <w:overflowPunct/>
        <w:topLinePunct w:val="0"/>
        <w:autoSpaceDE/>
        <w:autoSpaceDN/>
        <w:bidi w:val="0"/>
        <w:adjustRightInd/>
        <w:snapToGrid/>
        <w:spacing w:line="360" w:lineRule="auto"/>
        <w:ind w:left="210" w:leftChars="0"/>
        <w:textAlignment w:val="auto"/>
        <w:rPr>
          <w:rFonts w:hint="eastAsia"/>
          <w:b/>
          <w:bCs/>
          <w:sz w:val="32"/>
          <w:szCs w:val="32"/>
        </w:rPr>
      </w:pPr>
      <w:r>
        <w:rPr>
          <w:rFonts w:hint="eastAsia"/>
          <w:b/>
          <w:bCs/>
          <w:sz w:val="32"/>
          <w:szCs w:val="32"/>
          <w:lang w:val="en-US" w:eastAsia="zh-CN"/>
        </w:rPr>
        <w:t>八、</w:t>
      </w:r>
      <w:r>
        <w:rPr>
          <w:rFonts w:hint="eastAsia"/>
          <w:b/>
          <w:bCs/>
          <w:sz w:val="32"/>
          <w:szCs w:val="32"/>
        </w:rPr>
        <w:t>下一步改进措施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一是建议加强预算管理，完善绩效考核目标，考核目标尽量明确、细化和量化，提高资金使用效率；二是建立和完善专项资金使用管理制度；三是加大舆论宣传，提高政策知晓度；创新工作方式，强化资金监督管理，确保资金落到实处。</w:t>
      </w:r>
    </w:p>
    <w:p>
      <w:pPr>
        <w:numPr>
          <w:ilvl w:val="0"/>
          <w:numId w:val="3"/>
        </w:numPr>
        <w:snapToGrid w:val="0"/>
        <w:spacing w:line="520" w:lineRule="exact"/>
        <w:ind w:left="210" w:leftChars="0"/>
        <w:rPr>
          <w:rFonts w:hint="default"/>
          <w:b/>
          <w:bCs/>
          <w:sz w:val="40"/>
          <w:szCs w:val="40"/>
          <w:lang w:val="en-US" w:eastAsia="zh-CN"/>
        </w:rPr>
      </w:pPr>
      <w:r>
        <w:rPr>
          <w:rFonts w:hint="default"/>
          <w:b/>
          <w:bCs/>
          <w:sz w:val="40"/>
          <w:szCs w:val="40"/>
          <w:lang w:val="en-US" w:eastAsia="zh-CN"/>
        </w:rPr>
        <w:t>绩效自评结果拟应用和公开情况</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本年度绩效自评</w:t>
      </w:r>
      <w:r>
        <w:rPr>
          <w:rFonts w:hint="eastAsia" w:ascii="仿宋" w:hAnsi="仿宋" w:eastAsia="仿宋" w:cs="仿宋"/>
          <w:sz w:val="32"/>
          <w:szCs w:val="32"/>
          <w:highlight w:val="none"/>
          <w:lang w:val="en-US" w:eastAsia="zh-CN"/>
        </w:rPr>
        <w:t>结</w:t>
      </w:r>
      <w:bookmarkStart w:id="0" w:name="_GoBack"/>
      <w:bookmarkEnd w:id="0"/>
      <w:r>
        <w:rPr>
          <w:rFonts w:hint="eastAsia" w:ascii="仿宋" w:hAnsi="仿宋" w:eastAsia="仿宋" w:cs="仿宋"/>
          <w:sz w:val="32"/>
          <w:szCs w:val="32"/>
          <w:highlight w:val="none"/>
          <w:lang w:val="en-US" w:eastAsia="zh-CN"/>
        </w:rPr>
        <w:t>果为91分</w:t>
      </w:r>
      <w:r>
        <w:rPr>
          <w:rFonts w:hint="eastAsia" w:ascii="仿宋" w:hAnsi="仿宋" w:eastAsia="仿宋" w:cs="仿宋"/>
          <w:sz w:val="32"/>
          <w:szCs w:val="32"/>
          <w:lang w:val="en-US" w:eastAsia="zh-CN"/>
        </w:rPr>
        <w:t>。按规定时间内将2025年度专项资金绩效自评报告、整体部门支出绩效自评报告在本部门门户网站公开，并接受社会监督。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19E479"/>
    <w:multiLevelType w:val="singleLevel"/>
    <w:tmpl w:val="AF19E479"/>
    <w:lvl w:ilvl="0" w:tentative="0">
      <w:start w:val="1"/>
      <w:numFmt w:val="chineseCounting"/>
      <w:suff w:val="nothing"/>
      <w:lvlText w:val="（%1）"/>
      <w:lvlJc w:val="left"/>
      <w:rPr>
        <w:rFonts w:hint="eastAsia"/>
      </w:rPr>
    </w:lvl>
  </w:abstractNum>
  <w:abstractNum w:abstractNumId="1">
    <w:nsid w:val="E6F933F6"/>
    <w:multiLevelType w:val="singleLevel"/>
    <w:tmpl w:val="E6F933F6"/>
    <w:lvl w:ilvl="0" w:tentative="0">
      <w:start w:val="9"/>
      <w:numFmt w:val="chineseCounting"/>
      <w:suff w:val="nothing"/>
      <w:lvlText w:val="%1、"/>
      <w:lvlJc w:val="left"/>
      <w:rPr>
        <w:rFonts w:hint="eastAsia"/>
      </w:rPr>
    </w:lvl>
  </w:abstractNum>
  <w:abstractNum w:abstractNumId="2">
    <w:nsid w:val="689BDE5E"/>
    <w:multiLevelType w:val="singleLevel"/>
    <w:tmpl w:val="689BDE5E"/>
    <w:lvl w:ilvl="0" w:tentative="0">
      <w:start w:val="6"/>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12F213EC"/>
    <w:rsid w:val="0F6F1207"/>
    <w:rsid w:val="12F213EC"/>
    <w:rsid w:val="1AE93F38"/>
    <w:rsid w:val="22E156FE"/>
    <w:rsid w:val="24647887"/>
    <w:rsid w:val="28D66713"/>
    <w:rsid w:val="412179A6"/>
    <w:rsid w:val="43A90F4F"/>
    <w:rsid w:val="465D15AC"/>
    <w:rsid w:val="4BFA48ED"/>
    <w:rsid w:val="4DDA35C9"/>
    <w:rsid w:val="4F530186"/>
    <w:rsid w:val="537B3CC1"/>
    <w:rsid w:val="54AB7605"/>
    <w:rsid w:val="56A0087D"/>
    <w:rsid w:val="59CF4C28"/>
    <w:rsid w:val="681D3511"/>
    <w:rsid w:val="68262975"/>
    <w:rsid w:val="6F6A3147"/>
    <w:rsid w:val="746C5BB4"/>
    <w:rsid w:val="769431A0"/>
    <w:rsid w:val="7975397A"/>
    <w:rsid w:val="7C0B4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6"/>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cs="Times New Roman"/>
      <w:szCs w:val="24"/>
    </w:rPr>
  </w:style>
  <w:style w:type="paragraph" w:customStyle="1" w:styleId="3">
    <w:name w:val="列出段落1"/>
    <w:basedOn w:val="1"/>
    <w:qFormat/>
    <w:uiPriority w:val="0"/>
    <w:pPr>
      <w:ind w:firstLine="420" w:firstLineChars="200"/>
    </w:pPr>
    <w:rPr>
      <w:rFonts w:ascii="Times New Roman" w:hAnsi="Times New Roman"/>
    </w:rPr>
  </w:style>
  <w:style w:type="character" w:customStyle="1" w:styleId="6">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2535</Words>
  <Characters>2723</Characters>
  <Lines>0</Lines>
  <Paragraphs>0</Paragraphs>
  <TotalTime>10</TotalTime>
  <ScaleCrop>false</ScaleCrop>
  <LinksUpToDate>false</LinksUpToDate>
  <CharactersWithSpaces>2742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2022-06-13T08:09:00Z</dcterms:created>
  <dc:creator>追风筝的人</dc:creator>
  <cp:lastModifiedBy>水蜜桃</cp:lastModifiedBy>
  <cp:lastPrinted>2026-06-30T02:10:00Z</cp:lastPrinted>
  <dcterms:modified xsi:type="dcterms:W3CDTF">2026-09-14T01:14:14Z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5DACD36A2C2E4A96A88A8BB9FBEDD2C1</vt:lpwstr>
  </property>
  <property fmtid="{D5CDD505-2E9C-101B-9397-08002B2CF9AE}" pid="4" name="KSOTemplateDocerSaveRecord">
    <vt:lpwstr>eyJoZGlkIjoiMGE4ZmZmZTY1Yjk4ZTc5MjMyOWE2MWM2NzdlZTViZjYiLCJ1c2VySWQiOiI2MzQwNjE4MjQifQ==</vt:lpwstr>
  </property>
</Properties>
</file>