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4"/>
        <w:jc w:val="center"/>
        <w:rPr>
          <w:rFonts w:ascii="Times New Roman" w:hAnsi="Times New Roman" w:cs="Times New Roman"/>
          <w:sz w:val="56"/>
          <w:szCs w:val="56"/>
        </w:rPr>
      </w:pPr>
    </w:p>
    <w:p>
      <w:pPr>
        <w:pStyle w:val="14"/>
        <w:jc w:val="center"/>
        <w:rPr>
          <w:rFonts w:ascii="Times New Roman" w:hAnsi="Times New Roman" w:cs="Times New Roman"/>
          <w:sz w:val="84"/>
          <w:szCs w:val="84"/>
        </w:rPr>
      </w:pPr>
    </w:p>
    <w:p>
      <w:pPr>
        <w:pStyle w:val="14"/>
        <w:jc w:val="center"/>
        <w:rPr>
          <w:rFonts w:ascii="Times New Roman" w:hAnsi="Times New Roman" w:cs="Times New Roman"/>
          <w:sz w:val="84"/>
          <w:szCs w:val="84"/>
        </w:rPr>
      </w:pP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4"/>
        <w:jc w:val="center"/>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r>
        <w:rPr>
          <w:rFonts w:hint="eastAsia" w:ascii="Times New Roman" w:hAnsi="Times New Roman" w:eastAsia="方正小标宋简体" w:cs="Times New Roman"/>
          <w:sz w:val="72"/>
          <w:szCs w:val="72"/>
          <w:lang w:eastAsia="zh-CN"/>
        </w:rPr>
        <w:t>道县商业企业改制事务中心</w:t>
      </w:r>
      <w:r>
        <w:rPr>
          <w:rFonts w:ascii="Times New Roman" w:hAnsi="Times New Roman" w:eastAsia="方正小标宋简体" w:cs="Times New Roman"/>
          <w:sz w:val="72"/>
          <w:szCs w:val="72"/>
        </w:rPr>
        <w:t>部门决算</w:t>
      </w:r>
    </w:p>
    <w:p>
      <w:pPr>
        <w:pStyle w:val="14"/>
        <w:spacing w:line="600" w:lineRule="exact"/>
        <w:jc w:val="both"/>
        <w:rPr>
          <w:rFonts w:ascii="Times New Roman" w:hAnsi="Times New Roman" w:cs="Times New Roman"/>
          <w:b/>
          <w:sz w:val="36"/>
          <w:szCs w:val="28"/>
        </w:rPr>
      </w:pPr>
    </w:p>
    <w:p>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4"/>
        <w:spacing w:line="600" w:lineRule="exact"/>
        <w:jc w:val="center"/>
        <w:rPr>
          <w:rFonts w:ascii="Times New Roman" w:hAnsi="Times New Roman" w:cs="Times New Roman"/>
          <w:b/>
          <w:sz w:val="36"/>
          <w:szCs w:val="28"/>
        </w:rPr>
      </w:pPr>
    </w:p>
    <w:p>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道县商业企业改制事务中心</w:t>
      </w:r>
      <w:r>
        <w:rPr>
          <w:rFonts w:ascii="Times New Roman" w:hAnsi="Times New Roman" w:cs="Times New Roman"/>
          <w:bCs/>
          <w:sz w:val="32"/>
          <w:szCs w:val="32"/>
        </w:rPr>
        <w:t>概况</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4"/>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道县商业企业改制事务中心</w:t>
      </w:r>
      <w:r>
        <w:rPr>
          <w:rFonts w:ascii="Times New Roman" w:hAnsi="Times New Roman" w:eastAsia="方正小标宋_GBK" w:cs="Times New Roman"/>
          <w:sz w:val="52"/>
          <w:szCs w:val="52"/>
        </w:rPr>
        <w:t>概况</w:t>
      </w:r>
    </w:p>
    <w:p>
      <w:pPr>
        <w:pStyle w:val="4"/>
        <w:ind w:left="0" w:leftChars="0" w:firstLine="0" w:firstLineChars="0"/>
        <w:rPr>
          <w:rFonts w:ascii="Times New Roman" w:hAnsi="Times New Roman" w:cs="Times New Roman"/>
        </w:rPr>
      </w:pPr>
    </w:p>
    <w:p>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ind w:firstLine="640" w:firstLineChars="200"/>
        <w:rPr>
          <w:rFonts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w:t>
      </w:r>
      <w:r>
        <w:rPr>
          <w:rFonts w:hint="eastAsia" w:ascii="仿宋" w:hAnsi="仿宋" w:eastAsia="仿宋" w:cs="仿宋"/>
          <w:sz w:val="32"/>
          <w:szCs w:val="32"/>
        </w:rPr>
        <w:t>贯彻落实国家有关商业的方针、政策，协助政府做好行业性地方法规、行政规章和管理措施的起草工作，经授权监督执行。</w:t>
      </w:r>
    </w:p>
    <w:p>
      <w:pPr>
        <w:ind w:firstLine="640" w:firstLineChars="200"/>
        <w:rPr>
          <w:rFonts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rPr>
        <w:t>根据国家产业政策、研究制定本系统发展战略、体制改革，中长期发展规划和年度计划，并组织实施。</w:t>
      </w:r>
    </w:p>
    <w:p>
      <w:pPr>
        <w:ind w:firstLine="640" w:firstLineChars="200"/>
        <w:rPr>
          <w:rFonts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组织制定、考核本系统管理规范和目标管理办法，指导企业改革，引导企业加强内部管理，确保扭亏增盈任务的完成。</w:t>
      </w:r>
    </w:p>
    <w:p>
      <w:pPr>
        <w:ind w:firstLine="640" w:firstLineChars="200"/>
        <w:rPr>
          <w:rFonts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w:t>
      </w:r>
      <w:r>
        <w:rPr>
          <w:rFonts w:hint="eastAsia" w:ascii="仿宋" w:hAnsi="仿宋" w:eastAsia="仿宋" w:cs="仿宋"/>
          <w:sz w:val="32"/>
          <w:szCs w:val="32"/>
          <w:lang w:eastAsia="zh-CN"/>
        </w:rPr>
        <w:t>）</w:t>
      </w:r>
      <w:r>
        <w:rPr>
          <w:rFonts w:hint="eastAsia" w:ascii="仿宋" w:hAnsi="仿宋" w:eastAsia="仿宋" w:cs="仿宋"/>
          <w:sz w:val="32"/>
          <w:szCs w:val="32"/>
        </w:rPr>
        <w:t>组织本系统职工业务培训，抓好下岗再就业服务工作，会同有关部门管理全系统的商品市场。</w:t>
      </w:r>
    </w:p>
    <w:p>
      <w:pPr>
        <w:ind w:firstLine="640" w:firstLineChars="200"/>
        <w:rPr>
          <w:rFonts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五</w:t>
      </w:r>
      <w:r>
        <w:rPr>
          <w:rFonts w:hint="eastAsia" w:ascii="仿宋" w:hAnsi="仿宋" w:eastAsia="仿宋" w:cs="仿宋"/>
          <w:sz w:val="32"/>
          <w:szCs w:val="32"/>
          <w:lang w:eastAsia="zh-CN"/>
        </w:rPr>
        <w:t>）</w:t>
      </w:r>
      <w:r>
        <w:rPr>
          <w:rFonts w:hint="eastAsia" w:ascii="仿宋" w:hAnsi="仿宋" w:eastAsia="仿宋" w:cs="仿宋"/>
          <w:sz w:val="32"/>
          <w:szCs w:val="32"/>
        </w:rPr>
        <w:t>负责本系统直属企业国有资产的监督管理，确保国有资产的保值增值。</w:t>
      </w:r>
    </w:p>
    <w:p>
      <w:pPr>
        <w:numPr>
          <w:ilvl w:val="0"/>
          <w:numId w:val="0"/>
        </w:numPr>
        <w:ind w:firstLine="640" w:firstLineChars="200"/>
        <w:rPr>
          <w:rFonts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六</w:t>
      </w:r>
      <w:r>
        <w:rPr>
          <w:rFonts w:hint="eastAsia" w:ascii="仿宋" w:hAnsi="仿宋" w:eastAsia="仿宋" w:cs="仿宋"/>
          <w:sz w:val="32"/>
          <w:szCs w:val="32"/>
          <w:lang w:eastAsia="zh-CN"/>
        </w:rPr>
        <w:t>）</w:t>
      </w:r>
      <w:r>
        <w:rPr>
          <w:rFonts w:hint="eastAsia" w:ascii="仿宋" w:hAnsi="仿宋" w:eastAsia="仿宋" w:cs="仿宋"/>
          <w:sz w:val="32"/>
          <w:szCs w:val="32"/>
        </w:rPr>
        <w:t>负责本系统思想组织建设、机构编制管理和人事劳资及职称考评工作；</w:t>
      </w:r>
    </w:p>
    <w:p>
      <w:pPr>
        <w:ind w:firstLine="640" w:firstLineChars="200"/>
        <w:rPr>
          <w:rFonts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七</w:t>
      </w:r>
      <w:r>
        <w:rPr>
          <w:rFonts w:hint="eastAsia" w:ascii="仿宋" w:hAnsi="仿宋" w:eastAsia="仿宋" w:cs="仿宋"/>
          <w:sz w:val="32"/>
          <w:szCs w:val="32"/>
          <w:lang w:eastAsia="zh-CN"/>
        </w:rPr>
        <w:t>）</w:t>
      </w:r>
      <w:r>
        <w:rPr>
          <w:rFonts w:hint="eastAsia" w:ascii="仿宋" w:hAnsi="仿宋" w:eastAsia="仿宋" w:cs="仿宋"/>
          <w:sz w:val="32"/>
          <w:szCs w:val="32"/>
        </w:rPr>
        <w:t>负责机关直属企业离退休人员的管理及服务工作；组织落实本系统社会治安综合治理、消防、安全、保卫等工作。</w:t>
      </w:r>
    </w:p>
    <w:p>
      <w:pPr>
        <w:ind w:firstLine="640" w:firstLineChars="200"/>
        <w:rPr>
          <w:rFonts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八</w:t>
      </w:r>
      <w:r>
        <w:rPr>
          <w:rFonts w:hint="eastAsia" w:ascii="仿宋" w:hAnsi="仿宋" w:eastAsia="仿宋" w:cs="仿宋"/>
          <w:sz w:val="32"/>
          <w:szCs w:val="32"/>
          <w:lang w:eastAsia="zh-CN"/>
        </w:rPr>
        <w:t>）</w:t>
      </w:r>
      <w:r>
        <w:rPr>
          <w:rFonts w:hint="eastAsia" w:ascii="仿宋" w:hAnsi="仿宋" w:eastAsia="仿宋" w:cs="仿宋"/>
          <w:sz w:val="32"/>
          <w:szCs w:val="32"/>
        </w:rPr>
        <w:t>归口管理本系统的重大活动，会同有关部门协调解决本系统发展中的重大问题。</w:t>
      </w:r>
    </w:p>
    <w:p>
      <w:pPr>
        <w:ind w:firstLine="640" w:firstLineChars="200"/>
        <w:rPr>
          <w:rFonts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九</w:t>
      </w:r>
      <w:r>
        <w:rPr>
          <w:rFonts w:hint="eastAsia" w:ascii="仿宋" w:hAnsi="仿宋" w:eastAsia="仿宋" w:cs="仿宋"/>
          <w:sz w:val="32"/>
          <w:szCs w:val="32"/>
          <w:lang w:eastAsia="zh-CN"/>
        </w:rPr>
        <w:t>）</w:t>
      </w:r>
      <w:r>
        <w:rPr>
          <w:rFonts w:hint="eastAsia" w:ascii="仿宋" w:hAnsi="仿宋" w:eastAsia="仿宋" w:cs="仿宋"/>
          <w:sz w:val="32"/>
          <w:szCs w:val="32"/>
        </w:rPr>
        <w:t>承办县委、县政府和上一级行业主管部门交办的其他任务。</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eastAsia="zh-CN"/>
        </w:rPr>
        <w:t>道县商业企业改制事务中心</w:t>
      </w:r>
      <w:r>
        <w:rPr>
          <w:rFonts w:hint="eastAsia" w:ascii="Times New Roman" w:hAnsi="Times New Roman" w:eastAsia="仿宋_GB2312" w:cs="仿宋_GB2312"/>
          <w:bCs/>
          <w:kern w:val="0"/>
          <w:sz w:val="32"/>
          <w:szCs w:val="32"/>
        </w:rPr>
        <w:t>单位内设机构包括：</w:t>
      </w:r>
      <w:r>
        <w:rPr>
          <w:rFonts w:hint="eastAsia" w:ascii="Times New Roman" w:hAnsi="Times New Roman" w:eastAsia="仿宋_GB2312" w:cs="仿宋_GB2312"/>
          <w:bCs/>
          <w:kern w:val="0"/>
          <w:sz w:val="32"/>
          <w:szCs w:val="32"/>
          <w:lang w:eastAsia="zh-CN"/>
        </w:rPr>
        <w:t>办公室、政工股、财务室。</w:t>
      </w:r>
    </w:p>
    <w:p>
      <w:pPr>
        <w:widowControl/>
        <w:spacing w:line="600" w:lineRule="exac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eastAsia="zh-CN"/>
        </w:rPr>
        <w:t>道县商业企业改制事务中心</w:t>
      </w:r>
      <w:r>
        <w:rPr>
          <w:rFonts w:hint="eastAsia" w:ascii="Times New Roman" w:hAnsi="Times New Roman" w:eastAsia="仿宋_GB2312" w:cs="仿宋_GB2312"/>
          <w:bCs/>
          <w:kern w:val="0"/>
          <w:sz w:val="32"/>
          <w:szCs w:val="32"/>
        </w:rPr>
        <w:t>单位202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eastAsia="zh-CN"/>
        </w:rPr>
        <w:t>道县商业企业改制事务中心</w:t>
      </w:r>
      <w:r>
        <w:rPr>
          <w:rFonts w:hint="eastAsia" w:ascii="Times New Roman" w:hAnsi="Times New Roman" w:eastAsia="仿宋_GB2312" w:cs="仿宋_GB2312"/>
          <w:bCs/>
          <w:kern w:val="0"/>
          <w:sz w:val="32"/>
          <w:szCs w:val="32"/>
        </w:rPr>
        <w:t>单位本级</w:t>
      </w:r>
      <w:r>
        <w:rPr>
          <w:rFonts w:hint="eastAsia" w:ascii="Times New Roman" w:hAnsi="Times New Roman" w:eastAsia="仿宋_GB2312" w:cs="仿宋_GB2312"/>
          <w:bCs/>
          <w:kern w:val="0"/>
          <w:sz w:val="32"/>
          <w:szCs w:val="32"/>
          <w:lang w:eastAsia="zh-CN"/>
        </w:rPr>
        <w:t>。</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6063"/>
        <w:gridCol w:w="894"/>
        <w:gridCol w:w="1359"/>
        <w:gridCol w:w="4327"/>
        <w:gridCol w:w="894"/>
        <w:gridCol w:w="1359"/>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50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100.11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4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kern w:val="2"/>
                <w:sz w:val="22"/>
                <w:szCs w:val="22"/>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45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17.95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50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82.16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default" w:ascii="Times New Roman" w:hAnsi="Times New Roman" w:eastAsia="仿宋_GB2312" w:cs="Times New Roman"/>
                <w:color w:val="000000"/>
                <w:kern w:val="0"/>
                <w:sz w:val="22"/>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 xml:space="preserve">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51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100.11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100.11</w:t>
            </w:r>
          </w:p>
        </w:tc>
      </w:tr>
      <w:tr>
        <w:tblPrEx>
          <w:tblCellMar>
            <w:top w:w="0" w:type="dxa"/>
            <w:left w:w="108" w:type="dxa"/>
            <w:bottom w:w="0" w:type="dxa"/>
            <w:right w:w="108" w:type="dxa"/>
          </w:tblCellMar>
        </w:tblPrEx>
        <w:trPr>
          <w:trHeight w:val="47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52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100.11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b/>
                <w:color w:val="000000"/>
                <w:sz w:val="22"/>
                <w:lang w:val="en-US"/>
              </w:rPr>
            </w:pPr>
            <w:r>
              <w:rPr>
                <w:rFonts w:hint="eastAsia" w:ascii="宋体" w:hAnsi="宋体" w:eastAsia="宋体" w:cs="宋体"/>
                <w:i w:val="0"/>
                <w:iCs w:val="0"/>
                <w:color w:val="000000"/>
                <w:kern w:val="0"/>
                <w:sz w:val="22"/>
                <w:szCs w:val="22"/>
                <w:u w:val="none"/>
                <w:lang w:val="en-US" w:eastAsia="zh-CN" w:bidi="ar"/>
              </w:rPr>
              <w:t>100.11</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both"/>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817" w:type="dxa"/>
        <w:jc w:val="center"/>
        <w:tblLayout w:type="fixed"/>
        <w:tblCellMar>
          <w:top w:w="0" w:type="dxa"/>
          <w:left w:w="0" w:type="dxa"/>
          <w:bottom w:w="0" w:type="dxa"/>
          <w:right w:w="0" w:type="dxa"/>
        </w:tblCellMar>
      </w:tblPr>
      <w:tblGrid>
        <w:gridCol w:w="1904"/>
        <w:gridCol w:w="1317"/>
        <w:gridCol w:w="1657"/>
        <w:gridCol w:w="1657"/>
        <w:gridCol w:w="1657"/>
        <w:gridCol w:w="1657"/>
        <w:gridCol w:w="1657"/>
        <w:gridCol w:w="1915"/>
        <w:gridCol w:w="1396"/>
      </w:tblGrid>
      <w:tr>
        <w:tblPrEx>
          <w:tblCellMar>
            <w:top w:w="0" w:type="dxa"/>
            <w:left w:w="0" w:type="dxa"/>
            <w:bottom w:w="0" w:type="dxa"/>
            <w:right w:w="0" w:type="dxa"/>
          </w:tblCellMar>
        </w:tblPrEx>
        <w:trPr>
          <w:trHeight w:val="419" w:hRule="atLeast"/>
          <w:jc w:val="center"/>
        </w:trPr>
        <w:tc>
          <w:tcPr>
            <w:tcW w:w="322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5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91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9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25" w:hRule="exact"/>
          <w:jc w:val="center"/>
        </w:trPr>
        <w:tc>
          <w:tcPr>
            <w:tcW w:w="190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17"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91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9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35" w:hRule="atLeast"/>
          <w:jc w:val="center"/>
        </w:trPr>
        <w:tc>
          <w:tcPr>
            <w:tcW w:w="190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17"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91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9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19" w:hRule="atLeast"/>
          <w:jc w:val="center"/>
        </w:trPr>
        <w:tc>
          <w:tcPr>
            <w:tcW w:w="322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5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5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5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5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5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9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9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19" w:hRule="atLeast"/>
          <w:jc w:val="center"/>
        </w:trPr>
        <w:tc>
          <w:tcPr>
            <w:tcW w:w="322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100.11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100.11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19" w:hRule="atLeast"/>
          <w:jc w:val="center"/>
        </w:trPr>
        <w:tc>
          <w:tcPr>
            <w:tcW w:w="19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color w:val="000000"/>
                <w:kern w:val="0"/>
                <w:sz w:val="22"/>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13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color w:val="000000"/>
                <w:kern w:val="0"/>
                <w:sz w:val="22"/>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 w:val="22"/>
                <w:lang w:val="en-US" w:eastAsia="zh-CN" w:bidi="ar"/>
              </w:rPr>
            </w:pPr>
            <w:r>
              <w:rPr>
                <w:rFonts w:hint="eastAsia" w:ascii="宋体" w:hAnsi="宋体" w:eastAsia="宋体" w:cs="宋体"/>
                <w:i w:val="0"/>
                <w:iCs w:val="0"/>
                <w:color w:val="000000"/>
                <w:kern w:val="0"/>
                <w:sz w:val="22"/>
                <w:szCs w:val="22"/>
                <w:u w:val="none"/>
                <w:lang w:val="en-US" w:eastAsia="zh-CN" w:bidi="ar"/>
              </w:rPr>
              <w:t xml:space="preserve">17.95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 w:val="22"/>
                <w:lang w:val="en-US" w:eastAsia="zh-CN" w:bidi="ar"/>
              </w:rPr>
            </w:pPr>
            <w:r>
              <w:rPr>
                <w:rFonts w:hint="eastAsia" w:ascii="宋体" w:hAnsi="宋体" w:eastAsia="宋体" w:cs="宋体"/>
                <w:i w:val="0"/>
                <w:iCs w:val="0"/>
                <w:color w:val="000000"/>
                <w:kern w:val="0"/>
                <w:sz w:val="22"/>
                <w:szCs w:val="22"/>
                <w:u w:val="none"/>
                <w:lang w:val="en-US" w:eastAsia="zh-CN" w:bidi="ar"/>
              </w:rPr>
              <w:t xml:space="preserve">17.95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19" w:hRule="atLeast"/>
          <w:jc w:val="center"/>
        </w:trPr>
        <w:tc>
          <w:tcPr>
            <w:tcW w:w="19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
              </w:rPr>
            </w:pPr>
            <w:r>
              <w:rPr>
                <w:rFonts w:hint="eastAsia" w:ascii="宋体" w:hAnsi="宋体" w:eastAsia="宋体" w:cs="宋体"/>
                <w:i w:val="0"/>
                <w:iCs w:val="0"/>
                <w:color w:val="000000"/>
                <w:kern w:val="0"/>
                <w:sz w:val="22"/>
                <w:szCs w:val="22"/>
                <w:u w:val="none"/>
                <w:lang w:val="en-US" w:eastAsia="zh-CN" w:bidi="ar"/>
              </w:rPr>
              <w:t>2160201</w:t>
            </w:r>
          </w:p>
        </w:tc>
        <w:tc>
          <w:tcPr>
            <w:tcW w:w="13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
              </w:rPr>
            </w:pPr>
            <w:r>
              <w:rPr>
                <w:rFonts w:hint="eastAsia" w:ascii="宋体" w:hAnsi="宋体" w:eastAsia="宋体" w:cs="宋体"/>
                <w:i w:val="0"/>
                <w:iCs w:val="0"/>
                <w:color w:val="000000"/>
                <w:kern w:val="0"/>
                <w:sz w:val="22"/>
                <w:szCs w:val="22"/>
                <w:u w:val="none"/>
                <w:lang w:val="en-US" w:eastAsia="zh-CN" w:bidi="ar"/>
              </w:rPr>
              <w:t>行政运行</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 w:val="22"/>
                <w:szCs w:val="22"/>
                <w:lang w:val="en-US" w:eastAsia="zh-CN" w:bidi="ar"/>
              </w:rPr>
            </w:pPr>
            <w:r>
              <w:rPr>
                <w:rFonts w:hint="eastAsia" w:ascii="宋体" w:hAnsi="宋体" w:eastAsia="宋体" w:cs="宋体"/>
                <w:i w:val="0"/>
                <w:iCs w:val="0"/>
                <w:color w:val="000000"/>
                <w:kern w:val="0"/>
                <w:sz w:val="22"/>
                <w:szCs w:val="22"/>
                <w:u w:val="none"/>
                <w:lang w:val="en-US" w:eastAsia="zh-CN" w:bidi="ar"/>
              </w:rPr>
              <w:t xml:space="preserve">62.98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 w:val="22"/>
                <w:szCs w:val="22"/>
                <w:lang w:val="en-US" w:eastAsia="zh-CN" w:bidi="ar"/>
              </w:rPr>
            </w:pPr>
            <w:r>
              <w:rPr>
                <w:rFonts w:hint="eastAsia" w:ascii="宋体" w:hAnsi="宋体" w:eastAsia="宋体" w:cs="宋体"/>
                <w:i w:val="0"/>
                <w:iCs w:val="0"/>
                <w:color w:val="000000"/>
                <w:kern w:val="0"/>
                <w:sz w:val="22"/>
                <w:szCs w:val="22"/>
                <w:u w:val="none"/>
                <w:lang w:val="en-US" w:eastAsia="zh-CN" w:bidi="ar"/>
              </w:rPr>
              <w:t xml:space="preserve">62.98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634" w:hRule="atLeast"/>
          <w:jc w:val="center"/>
        </w:trPr>
        <w:tc>
          <w:tcPr>
            <w:tcW w:w="19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color w:val="000000"/>
                <w:kern w:val="0"/>
                <w:sz w:val="22"/>
                <w:lang w:val="en-US" w:eastAsia="zh-CN" w:bidi="ar"/>
              </w:rPr>
            </w:pPr>
            <w:r>
              <w:rPr>
                <w:rFonts w:hint="eastAsia" w:ascii="宋体" w:hAnsi="宋体" w:eastAsia="宋体" w:cs="宋体"/>
                <w:i w:val="0"/>
                <w:iCs w:val="0"/>
                <w:color w:val="000000"/>
                <w:kern w:val="0"/>
                <w:sz w:val="22"/>
                <w:szCs w:val="22"/>
                <w:u w:val="none"/>
                <w:lang w:val="en-US" w:eastAsia="zh-CN" w:bidi="ar"/>
              </w:rPr>
              <w:t>2160250</w:t>
            </w:r>
          </w:p>
        </w:tc>
        <w:tc>
          <w:tcPr>
            <w:tcW w:w="13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color w:val="000000"/>
                <w:kern w:val="0"/>
                <w:sz w:val="22"/>
                <w:lang w:val="en-US" w:eastAsia="zh-CN" w:bidi="ar"/>
              </w:rPr>
            </w:pPr>
            <w:r>
              <w:rPr>
                <w:rFonts w:hint="eastAsia" w:ascii="宋体" w:hAnsi="宋体" w:eastAsia="宋体" w:cs="宋体"/>
                <w:i w:val="0"/>
                <w:iCs w:val="0"/>
                <w:color w:val="000000"/>
                <w:kern w:val="0"/>
                <w:sz w:val="22"/>
                <w:szCs w:val="22"/>
                <w:u w:val="none"/>
                <w:lang w:val="en-US" w:eastAsia="zh-CN" w:bidi="ar"/>
              </w:rPr>
              <w:t>事业运行</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 w:val="22"/>
                <w:lang w:val="en-US" w:eastAsia="zh-CN" w:bidi="ar"/>
              </w:rPr>
            </w:pPr>
            <w:r>
              <w:rPr>
                <w:rFonts w:hint="eastAsia" w:ascii="宋体" w:hAnsi="宋体" w:eastAsia="宋体" w:cs="宋体"/>
                <w:i w:val="0"/>
                <w:iCs w:val="0"/>
                <w:color w:val="000000"/>
                <w:kern w:val="0"/>
                <w:sz w:val="22"/>
                <w:szCs w:val="22"/>
                <w:u w:val="none"/>
                <w:lang w:val="en-US" w:eastAsia="zh-CN" w:bidi="ar"/>
              </w:rPr>
              <w:t xml:space="preserve">11.83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 w:val="22"/>
                <w:lang w:val="en-US" w:eastAsia="zh-CN" w:bidi="ar"/>
              </w:rPr>
            </w:pPr>
            <w:r>
              <w:rPr>
                <w:rFonts w:hint="eastAsia" w:ascii="宋体" w:hAnsi="宋体" w:eastAsia="宋体" w:cs="宋体"/>
                <w:i w:val="0"/>
                <w:iCs w:val="0"/>
                <w:color w:val="000000"/>
                <w:kern w:val="0"/>
                <w:sz w:val="22"/>
                <w:szCs w:val="22"/>
                <w:u w:val="none"/>
                <w:lang w:val="en-US" w:eastAsia="zh-CN" w:bidi="ar"/>
              </w:rPr>
              <w:t xml:space="preserve">11.83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690" w:hRule="atLeast"/>
          <w:jc w:val="center"/>
        </w:trPr>
        <w:tc>
          <w:tcPr>
            <w:tcW w:w="19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color w:val="000000"/>
                <w:kern w:val="0"/>
                <w:sz w:val="22"/>
                <w:lang w:val="en-US" w:eastAsia="zh-CN" w:bidi="ar"/>
              </w:rPr>
            </w:pPr>
            <w:r>
              <w:rPr>
                <w:rFonts w:hint="eastAsia" w:ascii="宋体" w:hAnsi="宋体" w:eastAsia="宋体" w:cs="宋体"/>
                <w:i w:val="0"/>
                <w:iCs w:val="0"/>
                <w:color w:val="000000"/>
                <w:kern w:val="0"/>
                <w:sz w:val="22"/>
                <w:szCs w:val="22"/>
                <w:u w:val="none"/>
                <w:lang w:val="en-US" w:eastAsia="zh-CN" w:bidi="ar"/>
              </w:rPr>
              <w:t>2160299</w:t>
            </w:r>
          </w:p>
        </w:tc>
        <w:tc>
          <w:tcPr>
            <w:tcW w:w="13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color w:val="000000"/>
                <w:kern w:val="0"/>
                <w:sz w:val="22"/>
                <w:lang w:val="en-US" w:eastAsia="zh-CN" w:bidi="ar"/>
              </w:rPr>
            </w:pPr>
            <w:r>
              <w:rPr>
                <w:rFonts w:hint="eastAsia" w:ascii="宋体" w:hAnsi="宋体" w:eastAsia="宋体" w:cs="宋体"/>
                <w:i w:val="0"/>
                <w:iCs w:val="0"/>
                <w:color w:val="000000"/>
                <w:kern w:val="0"/>
                <w:sz w:val="22"/>
                <w:szCs w:val="22"/>
                <w:u w:val="none"/>
                <w:lang w:val="en-US" w:eastAsia="zh-CN" w:bidi="ar"/>
              </w:rPr>
              <w:t>其他商业流通事务支出</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 w:val="22"/>
                <w:lang w:val="en-US" w:eastAsia="zh-CN" w:bidi="ar"/>
              </w:rPr>
            </w:pPr>
            <w:r>
              <w:rPr>
                <w:rFonts w:hint="eastAsia" w:ascii="宋体" w:hAnsi="宋体" w:eastAsia="宋体" w:cs="宋体"/>
                <w:i w:val="0"/>
                <w:iCs w:val="0"/>
                <w:color w:val="000000"/>
                <w:kern w:val="0"/>
                <w:sz w:val="22"/>
                <w:szCs w:val="22"/>
                <w:u w:val="none"/>
                <w:lang w:val="en-US" w:eastAsia="zh-CN" w:bidi="ar"/>
              </w:rPr>
              <w:t xml:space="preserve">7.35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 w:val="22"/>
                <w:lang w:val="en-US" w:eastAsia="zh-CN" w:bidi="ar"/>
              </w:rPr>
            </w:pPr>
            <w:r>
              <w:rPr>
                <w:rFonts w:hint="eastAsia" w:ascii="宋体" w:hAnsi="宋体" w:eastAsia="宋体" w:cs="宋体"/>
                <w:i w:val="0"/>
                <w:iCs w:val="0"/>
                <w:color w:val="000000"/>
                <w:kern w:val="0"/>
                <w:sz w:val="22"/>
                <w:szCs w:val="22"/>
                <w:u w:val="none"/>
                <w:lang w:val="en-US" w:eastAsia="zh-CN" w:bidi="ar"/>
              </w:rPr>
              <w:t xml:space="preserve">7.35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643" w:hRule="atLeast"/>
          <w:jc w:val="center"/>
        </w:trPr>
        <w:tc>
          <w:tcPr>
            <w:tcW w:w="19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color w:val="000000"/>
                <w:kern w:val="0"/>
                <w:sz w:val="22"/>
                <w:lang w:val="en-US" w:eastAsia="zh-CN" w:bidi="ar"/>
              </w:rPr>
            </w:pPr>
          </w:p>
        </w:tc>
        <w:tc>
          <w:tcPr>
            <w:tcW w:w="13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color w:val="000000"/>
                <w:kern w:val="0"/>
                <w:sz w:val="22"/>
                <w:lang w:val="en-US" w:eastAsia="zh-CN" w:bidi="ar"/>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 w:val="22"/>
                <w:lang w:val="en-US" w:eastAsia="zh-CN" w:bidi="ar"/>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 w:val="22"/>
                <w:lang w:val="en-US" w:eastAsia="zh-CN" w:bidi="ar"/>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652" w:hRule="atLeast"/>
          <w:jc w:val="center"/>
        </w:trPr>
        <w:tc>
          <w:tcPr>
            <w:tcW w:w="19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color w:val="000000"/>
                <w:kern w:val="0"/>
                <w:sz w:val="22"/>
                <w:lang w:val="en-US" w:eastAsia="zh-CN" w:bidi="ar"/>
              </w:rPr>
            </w:pPr>
          </w:p>
        </w:tc>
        <w:tc>
          <w:tcPr>
            <w:tcW w:w="13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color w:val="000000"/>
                <w:kern w:val="0"/>
                <w:sz w:val="22"/>
                <w:lang w:val="en-US" w:eastAsia="zh-CN" w:bidi="ar"/>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 w:val="22"/>
                <w:lang w:val="en-US" w:eastAsia="zh-CN" w:bidi="ar"/>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 w:val="22"/>
                <w:lang w:val="en-US" w:eastAsia="zh-CN" w:bidi="ar"/>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9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634" w:hRule="atLeast"/>
          <w:jc w:val="center"/>
        </w:trPr>
        <w:tc>
          <w:tcPr>
            <w:tcW w:w="19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color w:val="000000"/>
                <w:kern w:val="0"/>
                <w:sz w:val="22"/>
                <w:lang w:val="en-US" w:eastAsia="zh-CN" w:bidi="ar"/>
              </w:rPr>
            </w:pPr>
          </w:p>
        </w:tc>
        <w:tc>
          <w:tcPr>
            <w:tcW w:w="13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color w:val="000000"/>
                <w:kern w:val="0"/>
                <w:sz w:val="22"/>
                <w:lang w:val="en-US" w:eastAsia="zh-CN" w:bidi="ar"/>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 w:val="22"/>
                <w:lang w:val="en-US" w:eastAsia="zh-CN" w:bidi="ar"/>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 w:val="22"/>
                <w:lang w:val="en-US" w:eastAsia="zh-CN" w:bidi="ar"/>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9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644" w:hRule="atLeast"/>
          <w:jc w:val="center"/>
        </w:trPr>
        <w:tc>
          <w:tcPr>
            <w:tcW w:w="19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color w:val="000000"/>
                <w:kern w:val="0"/>
                <w:sz w:val="22"/>
                <w:lang w:val="en-US" w:eastAsia="zh-CN" w:bidi="ar"/>
              </w:rPr>
            </w:pPr>
          </w:p>
        </w:tc>
        <w:tc>
          <w:tcPr>
            <w:tcW w:w="13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imes New Roman" w:hAnsi="Times New Roman" w:eastAsia="仿宋_GB2312" w:cs="Times New Roman"/>
                <w:color w:val="000000"/>
                <w:kern w:val="0"/>
                <w:sz w:val="22"/>
                <w:lang w:val="en-US" w:eastAsia="zh-CN" w:bidi="ar"/>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 w:val="22"/>
                <w:lang w:val="en-US" w:eastAsia="zh-CN" w:bidi="ar"/>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 w:val="22"/>
                <w:lang w:val="en-US" w:eastAsia="zh-CN" w:bidi="ar"/>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9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78" w:type="pct"/>
        <w:jc w:val="center"/>
        <w:tblLayout w:type="autofit"/>
        <w:tblCellMar>
          <w:top w:w="0" w:type="dxa"/>
          <w:left w:w="108" w:type="dxa"/>
          <w:bottom w:w="0" w:type="dxa"/>
          <w:right w:w="108" w:type="dxa"/>
        </w:tblCellMar>
      </w:tblPr>
      <w:tblGrid>
        <w:gridCol w:w="1837"/>
        <w:gridCol w:w="4197"/>
        <w:gridCol w:w="1542"/>
        <w:gridCol w:w="1542"/>
        <w:gridCol w:w="1542"/>
        <w:gridCol w:w="907"/>
        <w:gridCol w:w="615"/>
        <w:gridCol w:w="1975"/>
      </w:tblGrid>
      <w:tr>
        <w:tblPrEx>
          <w:tblCellMar>
            <w:top w:w="0" w:type="dxa"/>
            <w:left w:w="108" w:type="dxa"/>
            <w:bottom w:w="0" w:type="dxa"/>
            <w:right w:w="108" w:type="dxa"/>
          </w:tblCellMar>
        </w:tblPrEx>
        <w:trPr>
          <w:trHeight w:val="457" w:hRule="atLeast"/>
          <w:jc w:val="center"/>
        </w:trPr>
        <w:tc>
          <w:tcPr>
            <w:tcW w:w="2129"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4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54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54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32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21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69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442" w:hRule="exact"/>
          <w:jc w:val="center"/>
        </w:trPr>
        <w:tc>
          <w:tcPr>
            <w:tcW w:w="6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481"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4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4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4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2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21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9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885" w:hRule="atLeast"/>
          <w:jc w:val="center"/>
        </w:trPr>
        <w:tc>
          <w:tcPr>
            <w:tcW w:w="6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481"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4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4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4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2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21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9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57" w:hRule="atLeast"/>
          <w:jc w:val="center"/>
        </w:trPr>
        <w:tc>
          <w:tcPr>
            <w:tcW w:w="212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44"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544"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544"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32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21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69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457" w:hRule="atLeast"/>
          <w:jc w:val="center"/>
        </w:trPr>
        <w:tc>
          <w:tcPr>
            <w:tcW w:w="212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4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100.11 </w:t>
            </w:r>
          </w:p>
        </w:tc>
        <w:tc>
          <w:tcPr>
            <w:tcW w:w="54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74.81　</w:t>
            </w:r>
          </w:p>
        </w:tc>
        <w:tc>
          <w:tcPr>
            <w:tcW w:w="54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25.3　</w:t>
            </w: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1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7" w:hRule="atLeast"/>
          <w:jc w:val="center"/>
        </w:trPr>
        <w:tc>
          <w:tcPr>
            <w:tcW w:w="183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41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死亡抚恤</w:t>
            </w:r>
          </w:p>
        </w:tc>
        <w:tc>
          <w:tcPr>
            <w:tcW w:w="154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17.95 </w:t>
            </w:r>
          </w:p>
        </w:tc>
        <w:tc>
          <w:tcPr>
            <w:tcW w:w="54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w:t>
            </w:r>
          </w:p>
        </w:tc>
        <w:tc>
          <w:tcPr>
            <w:tcW w:w="54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17.95</w:t>
            </w: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1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7" w:hRule="atLeast"/>
          <w:jc w:val="center"/>
        </w:trPr>
        <w:tc>
          <w:tcPr>
            <w:tcW w:w="183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2160201</w:t>
            </w:r>
          </w:p>
        </w:tc>
        <w:tc>
          <w:tcPr>
            <w:tcW w:w="41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54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62.98 </w:t>
            </w:r>
          </w:p>
        </w:tc>
        <w:tc>
          <w:tcPr>
            <w:tcW w:w="154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62.98 </w:t>
            </w:r>
          </w:p>
        </w:tc>
        <w:tc>
          <w:tcPr>
            <w:tcW w:w="154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1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7" w:hRule="atLeast"/>
          <w:jc w:val="center"/>
        </w:trPr>
        <w:tc>
          <w:tcPr>
            <w:tcW w:w="183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2160250</w:t>
            </w:r>
          </w:p>
        </w:tc>
        <w:tc>
          <w:tcPr>
            <w:tcW w:w="41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事业运行</w:t>
            </w:r>
          </w:p>
        </w:tc>
        <w:tc>
          <w:tcPr>
            <w:tcW w:w="154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11.83 </w:t>
            </w:r>
          </w:p>
        </w:tc>
        <w:tc>
          <w:tcPr>
            <w:tcW w:w="154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11.83 </w:t>
            </w:r>
          </w:p>
        </w:tc>
        <w:tc>
          <w:tcPr>
            <w:tcW w:w="154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1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7" w:hRule="atLeast"/>
          <w:jc w:val="center"/>
        </w:trPr>
        <w:tc>
          <w:tcPr>
            <w:tcW w:w="183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2160299</w:t>
            </w:r>
          </w:p>
        </w:tc>
        <w:tc>
          <w:tcPr>
            <w:tcW w:w="41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其他商业流通事务支出</w:t>
            </w:r>
          </w:p>
        </w:tc>
        <w:tc>
          <w:tcPr>
            <w:tcW w:w="154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7.35 </w:t>
            </w:r>
          </w:p>
        </w:tc>
        <w:tc>
          <w:tcPr>
            <w:tcW w:w="54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54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7.35</w:t>
            </w: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1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7"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1481"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p>
        </w:tc>
        <w:tc>
          <w:tcPr>
            <w:tcW w:w="544"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1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7"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1481"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p>
        </w:tc>
        <w:tc>
          <w:tcPr>
            <w:tcW w:w="544"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1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57"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1481"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p>
        </w:tc>
        <w:tc>
          <w:tcPr>
            <w:tcW w:w="544"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1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57"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1481"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p>
        </w:tc>
        <w:tc>
          <w:tcPr>
            <w:tcW w:w="544"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1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71"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1481"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p>
        </w:tc>
        <w:tc>
          <w:tcPr>
            <w:tcW w:w="544"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1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4259" w:type="dxa"/>
        <w:jc w:val="center"/>
        <w:tblLayout w:type="fixed"/>
        <w:tblCellMar>
          <w:top w:w="0" w:type="dxa"/>
          <w:left w:w="108" w:type="dxa"/>
          <w:bottom w:w="0" w:type="dxa"/>
          <w:right w:w="108" w:type="dxa"/>
        </w:tblCellMar>
      </w:tblPr>
      <w:tblGrid>
        <w:gridCol w:w="2790"/>
        <w:gridCol w:w="763"/>
        <w:gridCol w:w="1702"/>
        <w:gridCol w:w="2776"/>
        <w:gridCol w:w="647"/>
        <w:gridCol w:w="1677"/>
        <w:gridCol w:w="1758"/>
        <w:gridCol w:w="1388"/>
        <w:gridCol w:w="758"/>
      </w:tblGrid>
      <w:tr>
        <w:tblPrEx>
          <w:tblCellMar>
            <w:top w:w="0" w:type="dxa"/>
            <w:left w:w="108" w:type="dxa"/>
            <w:bottom w:w="0" w:type="dxa"/>
            <w:right w:w="108" w:type="dxa"/>
          </w:tblCellMar>
        </w:tblPrEx>
        <w:trPr>
          <w:trHeight w:val="333" w:hRule="atLeast"/>
          <w:jc w:val="center"/>
        </w:trPr>
        <w:tc>
          <w:tcPr>
            <w:tcW w:w="525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004"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1947"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76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70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77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75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3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75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76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0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77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76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70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100.11 </w:t>
            </w: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33</w:t>
            </w:r>
          </w:p>
        </w:tc>
        <w:tc>
          <w:tcPr>
            <w:tcW w:w="16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p>
        </w:tc>
        <w:tc>
          <w:tcPr>
            <w:tcW w:w="175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5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655"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76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70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34</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5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655"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76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35</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5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6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36</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5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6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37</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5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6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5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655"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6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七、文化旅游体育与传媒支出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39</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5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八、社会保障和就业支出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40</w:t>
            </w:r>
          </w:p>
        </w:tc>
        <w:tc>
          <w:tcPr>
            <w:tcW w:w="16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17.95</w:t>
            </w:r>
          </w:p>
        </w:tc>
        <w:tc>
          <w:tcPr>
            <w:tcW w:w="175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17.95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9</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九、卫生健康支出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41</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十、节能环保支出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42</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十一、城乡社区支出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43</w:t>
            </w:r>
          </w:p>
        </w:tc>
        <w:tc>
          <w:tcPr>
            <w:tcW w:w="16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12</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十二、农林水支出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44</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13</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十三、交通运输支出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45</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十四、资源勘探工业信息等支出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46</w:t>
            </w:r>
          </w:p>
        </w:tc>
        <w:tc>
          <w:tcPr>
            <w:tcW w:w="16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15</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十五、商业服务业等支出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47</w:t>
            </w:r>
          </w:p>
        </w:tc>
        <w:tc>
          <w:tcPr>
            <w:tcW w:w="16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82.16 </w:t>
            </w:r>
          </w:p>
        </w:tc>
        <w:tc>
          <w:tcPr>
            <w:tcW w:w="175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82.16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16</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十六、金融支出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48</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17</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十七、援助其他地区支出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49</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655"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18</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十八、自然资源海洋气象等支出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50</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19</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十九、住房保障支出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51</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20</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二十、粮油物资储备支出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52</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655"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21</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二十一、国有资本经营预算支出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53</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655"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22</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二十二、灾害防治及应急管理支出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54</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23</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二十三、其他支出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55</w:t>
            </w:r>
          </w:p>
        </w:tc>
        <w:tc>
          <w:tcPr>
            <w:tcW w:w="16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lang w:val="en-US" w:eastAsia="zh-CN" w:bidi="ar-SA"/>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24</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二十四、债务还本支出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56</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25</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二十五、债务付息支出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57</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655"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26</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二十六、抗疫特别国债安排的支出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58</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27</w:t>
            </w:r>
          </w:p>
        </w:tc>
        <w:tc>
          <w:tcPr>
            <w:tcW w:w="170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100.11 </w:t>
            </w:r>
          </w:p>
        </w:tc>
        <w:tc>
          <w:tcPr>
            <w:tcW w:w="277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85</w:t>
            </w:r>
          </w:p>
        </w:tc>
        <w:tc>
          <w:tcPr>
            <w:tcW w:w="16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100.11 </w:t>
            </w:r>
          </w:p>
        </w:tc>
        <w:tc>
          <w:tcPr>
            <w:tcW w:w="175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100.11 </w:t>
            </w:r>
          </w:p>
        </w:tc>
        <w:tc>
          <w:tcPr>
            <w:tcW w:w="13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75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28</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86</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5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29</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87</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5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655"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30</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88</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5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655"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31</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89</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5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43" w:hRule="atLeast"/>
          <w:jc w:val="center"/>
        </w:trPr>
        <w:tc>
          <w:tcPr>
            <w:tcW w:w="279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76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32</w:t>
            </w:r>
          </w:p>
        </w:tc>
        <w:tc>
          <w:tcPr>
            <w:tcW w:w="170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100.11 </w:t>
            </w:r>
          </w:p>
        </w:tc>
        <w:tc>
          <w:tcPr>
            <w:tcW w:w="277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4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90</w:t>
            </w:r>
          </w:p>
        </w:tc>
        <w:tc>
          <w:tcPr>
            <w:tcW w:w="167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100.11 </w:t>
            </w:r>
          </w:p>
        </w:tc>
        <w:tc>
          <w:tcPr>
            <w:tcW w:w="1758"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100.11 </w:t>
            </w:r>
          </w:p>
        </w:tc>
        <w:tc>
          <w:tcPr>
            <w:tcW w:w="13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75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100.11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74.81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25.3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死亡抚恤</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17.95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17.95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2160201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62.98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62.98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2160250</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11.83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11.83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2160299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其他商业流通事务支出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7.35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7.35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4" w:space="0"/>
            </w:tcBorders>
            <w:shd w:val="clear" w:color="auto" w:fill="auto"/>
            <w:vAlign w:val="center"/>
          </w:tcPr>
          <w:p>
            <w:pPr>
              <w:widowControl/>
              <w:jc w:val="right"/>
              <w:textAlignment w:val="center"/>
              <w:rPr>
                <w:rFonts w:ascii="Times New Roman" w:hAnsi="Times New Roman" w:eastAsia="仿宋_GB2312" w:cs="Times New Roman"/>
                <w:kern w:val="0"/>
                <w:szCs w:val="21"/>
              </w:rPr>
            </w:pP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right"/>
              <w:textAlignment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4" w:space="0"/>
            </w:tcBorders>
            <w:shd w:val="clear" w:color="auto" w:fill="auto"/>
            <w:vAlign w:val="center"/>
          </w:tcPr>
          <w:p>
            <w:pPr>
              <w:widowControl/>
              <w:jc w:val="right"/>
              <w:textAlignment w:val="center"/>
              <w:rPr>
                <w:rFonts w:ascii="Times New Roman" w:hAnsi="Times New Roman" w:eastAsia="仿宋_GB2312" w:cs="Times New Roman"/>
                <w:kern w:val="0"/>
                <w:szCs w:val="21"/>
              </w:rPr>
            </w:pP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right"/>
              <w:textAlignment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4" w:space="0"/>
            </w:tcBorders>
            <w:shd w:val="clear" w:color="auto" w:fill="auto"/>
            <w:vAlign w:val="center"/>
          </w:tcPr>
          <w:p>
            <w:pPr>
              <w:widowControl/>
              <w:jc w:val="right"/>
              <w:textAlignment w:val="center"/>
              <w:rPr>
                <w:rFonts w:ascii="Times New Roman" w:hAnsi="Times New Roman" w:eastAsia="仿宋_GB2312" w:cs="Times New Roman"/>
                <w:kern w:val="0"/>
                <w:szCs w:val="21"/>
              </w:rPr>
            </w:pP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right"/>
              <w:textAlignment w:val="center"/>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Cs w:val="21"/>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44</w:t>
            </w:r>
            <w:r>
              <w:rPr>
                <w:rFonts w:hint="eastAsia" w:ascii="Times New Roman" w:hAnsi="Times New Roman" w:eastAsia="仿宋_GB2312" w:cs="Times New Roman"/>
                <w:kern w:val="0"/>
                <w:szCs w:val="21"/>
                <w:lang w:val="en-US" w:eastAsia="zh-CN"/>
              </w:rPr>
              <w:t>.</w:t>
            </w:r>
            <w:r>
              <w:rPr>
                <w:rFonts w:hint="eastAsia" w:ascii="Times New Roman" w:hAnsi="Times New Roman" w:eastAsia="仿宋_GB2312" w:cs="Times New Roman"/>
                <w:kern w:val="0"/>
                <w:szCs w:val="21"/>
                <w:lang w:eastAsia="zh-CN"/>
              </w:rPr>
              <w:t>69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56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Cs w:val="21"/>
                <w:lang w:eastAsia="zh-CN"/>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color w:val="000000"/>
                <w:kern w:val="0"/>
                <w:szCs w:val="20"/>
                <w:lang w:eastAsia="zh-CN"/>
              </w:rPr>
            </w:pPr>
            <w:r>
              <w:rPr>
                <w:rFonts w:hint="eastAsia" w:ascii="Times New Roman" w:hAnsi="Times New Roman" w:eastAsia="仿宋_GB2312" w:cs="Times New Roman"/>
                <w:color w:val="000000"/>
                <w:kern w:val="0"/>
                <w:szCs w:val="20"/>
              </w:rPr>
              <w:t>2</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2</w:t>
            </w:r>
            <w:r>
              <w:rPr>
                <w:rFonts w:hint="eastAsia" w:ascii="Times New Roman" w:hAnsi="Times New Roman" w:eastAsia="仿宋_GB2312" w:cs="Times New Roman"/>
                <w:color w:val="000000"/>
                <w:kern w:val="0"/>
                <w:szCs w:val="20"/>
                <w:lang w:val="en-US" w:eastAsia="zh-CN"/>
              </w:rPr>
              <w:t>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Cs w:val="21"/>
                <w:lang w:eastAsia="zh-CN"/>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color w:val="000000"/>
                <w:kern w:val="0"/>
                <w:szCs w:val="20"/>
                <w:lang w:eastAsia="zh-CN"/>
              </w:rPr>
            </w:pPr>
            <w:r>
              <w:rPr>
                <w:rFonts w:hint="eastAsia" w:ascii="Times New Roman" w:hAnsi="Times New Roman" w:eastAsia="仿宋_GB2312" w:cs="Times New Roman"/>
                <w:color w:val="000000"/>
                <w:kern w:val="0"/>
                <w:szCs w:val="20"/>
                <w:lang w:val="en-US" w:eastAsia="zh-CN"/>
              </w:rPr>
              <w:t>0.</w:t>
            </w:r>
            <w:r>
              <w:rPr>
                <w:rFonts w:hint="eastAsia" w:ascii="Times New Roman" w:hAnsi="Times New Roman" w:eastAsia="仿宋_GB2312" w:cs="Times New Roman"/>
                <w:color w:val="000000"/>
                <w:kern w:val="0"/>
                <w:szCs w:val="20"/>
              </w:rPr>
              <w:t>1</w:t>
            </w:r>
            <w:r>
              <w:rPr>
                <w:rFonts w:hint="eastAsia" w:ascii="Times New Roman" w:hAnsi="Times New Roman" w:eastAsia="仿宋_GB2312" w:cs="Times New Roman"/>
                <w:color w:val="000000"/>
                <w:kern w:val="0"/>
                <w:szCs w:val="20"/>
                <w:lang w:val="en-US" w:eastAsia="zh-CN"/>
              </w:rPr>
              <w:t>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8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11</w:t>
            </w:r>
            <w:r>
              <w:rPr>
                <w:rFonts w:hint="eastAsia" w:ascii="Times New Roman" w:hAnsi="Times New Roman" w:eastAsia="仿宋_GB2312" w:cs="Times New Roman"/>
                <w:kern w:val="0"/>
                <w:szCs w:val="21"/>
                <w:lang w:val="en-US" w:eastAsia="zh-CN"/>
              </w:rPr>
              <w:t>.</w:t>
            </w:r>
            <w:r>
              <w:rPr>
                <w:rFonts w:hint="eastAsia" w:ascii="Times New Roman" w:hAnsi="Times New Roman" w:eastAsia="仿宋_GB2312" w:cs="Times New Roman"/>
                <w:kern w:val="0"/>
                <w:szCs w:val="21"/>
                <w:lang w:eastAsia="zh-CN"/>
              </w:rPr>
              <w:t>8</w:t>
            </w:r>
            <w:r>
              <w:rPr>
                <w:rFonts w:hint="eastAsia" w:ascii="Times New Roman" w:hAnsi="Times New Roman" w:eastAsia="仿宋_GB2312" w:cs="Times New Roman"/>
                <w:kern w:val="0"/>
                <w:szCs w:val="21"/>
                <w:lang w:val="en-US" w:eastAsia="zh-CN"/>
              </w:rPr>
              <w:t>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r>
              <w:rPr>
                <w:rFonts w:hint="eastAsia" w:ascii="Times New Roman" w:hAnsi="Times New Roman" w:eastAsia="仿宋_GB2312" w:cs="Times New Roman"/>
                <w:color w:val="000000"/>
                <w:kern w:val="0"/>
                <w:szCs w:val="20"/>
              </w:rPr>
              <w:t>96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6</w:t>
            </w:r>
            <w:r>
              <w:rPr>
                <w:rFonts w:hint="eastAsia" w:ascii="Times New Roman" w:hAnsi="Times New Roman" w:eastAsia="仿宋_GB2312" w:cs="Times New Roman"/>
                <w:kern w:val="0"/>
                <w:szCs w:val="21"/>
                <w:lang w:val="en-US" w:eastAsia="zh-CN"/>
              </w:rPr>
              <w:t>.</w:t>
            </w:r>
            <w:r>
              <w:rPr>
                <w:rFonts w:hint="eastAsia" w:ascii="Times New Roman" w:hAnsi="Times New Roman" w:eastAsia="仿宋_GB2312" w:cs="Times New Roman"/>
                <w:kern w:val="0"/>
                <w:szCs w:val="21"/>
                <w:lang w:eastAsia="zh-CN"/>
              </w:rPr>
              <w:t>44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color w:val="000000"/>
                <w:kern w:val="0"/>
                <w:szCs w:val="20"/>
                <w:lang w:eastAsia="zh-CN"/>
              </w:rPr>
            </w:pPr>
            <w:r>
              <w:rPr>
                <w:rFonts w:hint="eastAsia" w:ascii="Times New Roman" w:hAnsi="Times New Roman" w:eastAsia="仿宋_GB2312" w:cs="Times New Roman"/>
                <w:color w:val="000000"/>
                <w:kern w:val="0"/>
                <w:szCs w:val="20"/>
              </w:rPr>
              <w:t>2</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1</w:t>
            </w:r>
            <w:r>
              <w:rPr>
                <w:rFonts w:hint="eastAsia" w:ascii="Times New Roman" w:hAnsi="Times New Roman" w:eastAsia="仿宋_GB2312" w:cs="Times New Roman"/>
                <w:color w:val="000000"/>
                <w:kern w:val="0"/>
                <w:szCs w:val="20"/>
                <w:lang w:val="en-US" w:eastAsia="zh-CN"/>
              </w:rPr>
              <w:t>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86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w:t>
            </w:r>
            <w:r>
              <w:rPr>
                <w:rFonts w:hint="eastAsia" w:ascii="Times New Roman" w:hAnsi="Times New Roman" w:eastAsia="仿宋_GB2312" w:cs="Times New Roman"/>
                <w:kern w:val="0"/>
                <w:szCs w:val="21"/>
                <w:lang w:val="en-US" w:eastAsia="zh-CN"/>
              </w:rPr>
              <w:t>.</w:t>
            </w:r>
            <w:r>
              <w:rPr>
                <w:rFonts w:hint="eastAsia" w:ascii="Times New Roman" w:hAnsi="Times New Roman" w:eastAsia="仿宋_GB2312" w:cs="Times New Roman"/>
                <w:kern w:val="0"/>
                <w:szCs w:val="21"/>
              </w:rPr>
              <w:t>9</w:t>
            </w:r>
            <w:r>
              <w:rPr>
                <w:rFonts w:hint="eastAsia" w:ascii="Times New Roman" w:hAnsi="Times New Roman" w:eastAsia="仿宋_GB2312" w:cs="Times New Roman"/>
                <w:kern w:val="0"/>
                <w:szCs w:val="21"/>
                <w:lang w:val="en-US" w:eastAsia="zh-CN"/>
              </w:rPr>
              <w:t>5</w:t>
            </w: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w:t>
            </w:r>
            <w:r>
              <w:rPr>
                <w:rFonts w:hint="eastAsia" w:ascii="Times New Roman" w:hAnsi="Times New Roman" w:eastAsia="仿宋_GB2312" w:cs="Times New Roman"/>
                <w:kern w:val="0"/>
                <w:szCs w:val="21"/>
                <w:lang w:val="en-US" w:eastAsia="zh-CN"/>
              </w:rPr>
              <w:t>.</w:t>
            </w:r>
            <w:r>
              <w:rPr>
                <w:rFonts w:hint="eastAsia" w:ascii="Times New Roman" w:hAnsi="Times New Roman" w:eastAsia="仿宋_GB2312" w:cs="Times New Roman"/>
                <w:kern w:val="0"/>
                <w:szCs w:val="21"/>
              </w:rPr>
              <w:t>60</w:t>
            </w: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25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color w:val="000000"/>
                <w:kern w:val="0"/>
                <w:szCs w:val="20"/>
                <w:lang w:eastAsia="zh-CN"/>
              </w:rPr>
            </w:pPr>
            <w:r>
              <w:rPr>
                <w:rFonts w:hint="eastAsia" w:ascii="Times New Roman" w:hAnsi="Times New Roman" w:eastAsia="仿宋_GB2312" w:cs="Times New Roman"/>
                <w:color w:val="000000"/>
                <w:kern w:val="0"/>
                <w:szCs w:val="20"/>
              </w:rPr>
              <w:t>1</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4</w:t>
            </w:r>
            <w:r>
              <w:rPr>
                <w:rFonts w:hint="eastAsia" w:ascii="Times New Roman" w:hAnsi="Times New Roman" w:eastAsia="仿宋_GB2312" w:cs="Times New Roman"/>
                <w:color w:val="000000"/>
                <w:kern w:val="0"/>
                <w:szCs w:val="20"/>
                <w:lang w:val="en-US" w:eastAsia="zh-CN"/>
              </w:rPr>
              <w:t>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99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84.52</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15.59</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8"/>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widowControl/>
        <w:spacing w:before="120"/>
        <w:jc w:val="left"/>
        <w:textAlignment w:val="center"/>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hint="eastAsia" w:ascii="楷体" w:hAnsi="楷体" w:eastAsia="楷体" w:cs="楷体"/>
          <w:b/>
          <w:bCs/>
          <w:i w:val="0"/>
          <w:color w:val="auto"/>
          <w:kern w:val="0"/>
          <w:sz w:val="24"/>
          <w:szCs w:val="24"/>
          <w:u w:val="none"/>
          <w:lang w:val="en-US" w:eastAsia="zh-CN" w:bidi="ar"/>
        </w:rPr>
        <w:t>说明：我单位没有使用“三公”经费预算安排的支出，故本表无数据。</w:t>
      </w: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100.11</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64.65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39.24</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一般公共服务</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社会保障和就业支出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商业服务业</w:t>
      </w:r>
      <w:r>
        <w:rPr>
          <w:rFonts w:hint="eastAsia" w:ascii="Times New Roman" w:hAnsi="Times New Roman" w:eastAsia="仿宋_GB2312" w:cs="Times New Roman"/>
          <w:sz w:val="32"/>
          <w:szCs w:val="32"/>
          <w:lang w:eastAsia="zh-CN"/>
        </w:rPr>
        <w:t>等重点支出，体现在有关支出科目中。</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100.11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100.11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100.11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74.81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74.73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25.3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25.27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100.11</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减少64.65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39.24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100.11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val="en-US" w:eastAsia="zh-CN"/>
        </w:rPr>
        <w:t>减少64.65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39.24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100.11</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val="en-US" w:eastAsia="zh-CN"/>
        </w:rPr>
        <w:t>社会保障和就业</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17.95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17.93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商业服务业等支出82.16万元，占82.07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199.04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100.11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50.30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100.11</w:t>
      </w:r>
      <w:r>
        <w:rPr>
          <w:rFonts w:ascii="Times New Roman" w:hAnsi="Times New Roman" w:eastAsia="仿宋_GB2312" w:cs="Times New Roman"/>
          <w:sz w:val="32"/>
          <w:szCs w:val="32"/>
        </w:rPr>
        <w:t>万元，其中：</w:t>
      </w:r>
    </w:p>
    <w:p>
      <w:pPr>
        <w:ind w:firstLine="640" w:firstLineChars="200"/>
        <w:rPr>
          <w:rFonts w:hint="eastAsia" w:ascii="仿宋_GB2312" w:hAnsi="仿宋" w:eastAsia="仿宋_GB2312" w:cstheme="minorBidi"/>
          <w:kern w:val="2"/>
          <w:sz w:val="32"/>
          <w:szCs w:val="32"/>
          <w:lang w:val="en-US" w:eastAsia="zh-CN" w:bidi="ar-SA"/>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84.52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84.43</w:t>
      </w:r>
      <w:r>
        <w:rPr>
          <w:rFonts w:ascii="Times New Roman" w:hAnsi="Times New Roman" w:eastAsia="仿宋_GB2312" w:cs="Times New Roman"/>
          <w:sz w:val="32"/>
          <w:szCs w:val="32"/>
        </w:rPr>
        <w:t>%,主要包括</w:t>
      </w:r>
      <w:r>
        <w:rPr>
          <w:rFonts w:hint="eastAsia" w:ascii="仿宋_GB2312" w:hAnsi="仿宋" w:eastAsia="仿宋_GB2312" w:cstheme="minorBidi"/>
          <w:kern w:val="2"/>
          <w:sz w:val="32"/>
          <w:szCs w:val="32"/>
          <w:lang w:val="en-US" w:eastAsia="zh-CN" w:bidi="ar-SA"/>
        </w:rPr>
        <w:t>基本工资、机关事业单位基本养老保险、职工基本医疗保险、抚恤金、生活补助。</w:t>
      </w:r>
    </w:p>
    <w:p>
      <w:pPr>
        <w:ind w:firstLine="640" w:firstLineChars="200"/>
        <w:rPr>
          <w:rFonts w:hint="eastAsia" w:ascii="仿宋_GB2312" w:hAnsi="仿宋" w:eastAsia="仿宋_GB2312" w:cstheme="minorBidi"/>
          <w:kern w:val="2"/>
          <w:sz w:val="32"/>
          <w:szCs w:val="32"/>
          <w:lang w:val="en-US" w:eastAsia="zh-CN" w:bidi="ar-SA"/>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15.59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15.57</w:t>
      </w:r>
      <w:r>
        <w:rPr>
          <w:rFonts w:ascii="Times New Roman" w:hAnsi="Times New Roman" w:eastAsia="仿宋_GB2312" w:cs="Times New Roman"/>
          <w:sz w:val="32"/>
          <w:szCs w:val="32"/>
        </w:rPr>
        <w:t>%，主要包括</w:t>
      </w:r>
      <w:r>
        <w:rPr>
          <w:rFonts w:hint="eastAsia" w:ascii="仿宋_GB2312" w:hAnsi="仿宋" w:eastAsia="仿宋_GB2312" w:cstheme="minorBidi"/>
          <w:kern w:val="2"/>
          <w:sz w:val="32"/>
          <w:szCs w:val="32"/>
          <w:lang w:val="en-US" w:eastAsia="zh-CN" w:bidi="ar-SA"/>
        </w:rPr>
        <w:t>办公费、印刷费、水费、电费、差旅费、租赁费、劳务费、其他交通费用、其他商品和服务费用。</w:t>
      </w:r>
    </w:p>
    <w:p>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74.81</w:t>
      </w:r>
      <w:r>
        <w:rPr>
          <w:rFonts w:ascii="Times New Roman" w:hAnsi="Times New Roman" w:eastAsia="仿宋_GB2312" w:cs="Times New Roman"/>
          <w:sz w:val="32"/>
          <w:szCs w:val="32"/>
        </w:rPr>
        <w:t>万元，比年初预算数（或者上年决算数）减少</w:t>
      </w:r>
      <w:r>
        <w:rPr>
          <w:rFonts w:hint="eastAsia" w:ascii="Times New Roman" w:hAnsi="Times New Roman" w:eastAsia="仿宋_GB2312" w:cs="Times New Roman"/>
          <w:sz w:val="32"/>
          <w:szCs w:val="32"/>
          <w:lang w:val="en-US" w:eastAsia="zh-CN"/>
        </w:rPr>
        <w:t>8.38</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%。主要原因是：</w:t>
      </w:r>
      <w:r>
        <w:rPr>
          <w:rFonts w:hint="eastAsia" w:ascii="仿宋_GB2312" w:hAnsi="仿宋" w:eastAsia="仿宋_GB2312" w:cstheme="minorBidi"/>
          <w:kern w:val="2"/>
          <w:sz w:val="32"/>
          <w:szCs w:val="32"/>
          <w:lang w:val="en-US" w:eastAsia="zh-CN" w:bidi="ar-SA"/>
        </w:rPr>
        <w:t>履行节约，过紧日子</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25.3</w:t>
      </w:r>
      <w:r>
        <w:rPr>
          <w:rFonts w:ascii="Times New Roman" w:hAnsi="Times New Roman" w:eastAsia="仿宋_GB2312" w:cs="Times New Roman"/>
          <w:kern w:val="0"/>
          <w:sz w:val="32"/>
          <w:szCs w:val="32"/>
        </w:rPr>
        <w:t>万元。其中，</w:t>
      </w:r>
      <w:r>
        <w:rPr>
          <w:rFonts w:hint="eastAsia" w:ascii="仿宋_GB2312" w:hAnsi="仿宋" w:eastAsia="仿宋_GB2312" w:cstheme="minorBidi"/>
          <w:kern w:val="2"/>
          <w:sz w:val="32"/>
          <w:szCs w:val="32"/>
          <w:lang w:val="en-US" w:eastAsia="zh-CN" w:bidi="ar-SA"/>
        </w:rPr>
        <w:t>社会保障和就业支出17.95万元</w:t>
      </w:r>
      <w:r>
        <w:rPr>
          <w:rFonts w:ascii="Times New Roman" w:hAnsi="Times New Roman" w:eastAsia="仿宋_GB2312" w:cs="Times New Roman"/>
          <w:kern w:val="0"/>
          <w:sz w:val="32"/>
          <w:szCs w:val="32"/>
        </w:rPr>
        <w:t>，占一般公共预算支出总额的</w:t>
      </w:r>
      <w:r>
        <w:rPr>
          <w:rFonts w:hint="eastAsia" w:ascii="Times New Roman" w:hAnsi="Times New Roman" w:eastAsia="仿宋_GB2312" w:cs="Times New Roman"/>
          <w:kern w:val="0"/>
          <w:sz w:val="32"/>
          <w:szCs w:val="32"/>
          <w:lang w:val="en-US" w:eastAsia="zh-CN"/>
        </w:rPr>
        <w:t>17.93</w:t>
      </w:r>
      <w:r>
        <w:rPr>
          <w:rFonts w:ascii="Times New Roman" w:hAnsi="Times New Roman" w:eastAsia="仿宋_GB2312" w:cs="Times New Roman"/>
          <w:kern w:val="0"/>
          <w:sz w:val="32"/>
          <w:szCs w:val="32"/>
        </w:rPr>
        <w:t>%；</w:t>
      </w:r>
      <w:r>
        <w:rPr>
          <w:rFonts w:hint="eastAsia" w:ascii="仿宋_GB2312" w:hAnsi="仿宋" w:eastAsia="仿宋_GB2312" w:cstheme="minorBidi"/>
          <w:kern w:val="2"/>
          <w:sz w:val="32"/>
          <w:szCs w:val="32"/>
          <w:lang w:val="en-US" w:eastAsia="zh-CN" w:bidi="ar-SA"/>
        </w:rPr>
        <w:t>企业改制经费7.35万元</w:t>
      </w:r>
      <w:r>
        <w:rPr>
          <w:rFonts w:ascii="Times New Roman" w:hAnsi="Times New Roman" w:eastAsia="仿宋_GB2312" w:cs="Times New Roman"/>
          <w:kern w:val="0"/>
          <w:sz w:val="32"/>
          <w:szCs w:val="32"/>
        </w:rPr>
        <w:t>，占一般公共预算支出总额的</w:t>
      </w:r>
      <w:r>
        <w:rPr>
          <w:rFonts w:hint="eastAsia" w:ascii="Times New Roman" w:hAnsi="Times New Roman" w:eastAsia="仿宋_GB2312" w:cs="Times New Roman"/>
          <w:kern w:val="0"/>
          <w:sz w:val="32"/>
          <w:szCs w:val="32"/>
          <w:lang w:val="en-US" w:eastAsia="zh-CN"/>
        </w:rPr>
        <w:t>7.34</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企业改制</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val="en-US" w:eastAsia="zh-CN"/>
        </w:rPr>
        <w:t>社会保障和就业</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25.3</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pPr>
        <w:ind w:firstLine="640" w:firstLineChars="200"/>
        <w:rPr>
          <w:rFonts w:hint="eastAsia" w:ascii="仿宋_GB2312" w:hAnsi="仿宋" w:eastAsia="仿宋_GB2312" w:cstheme="minorBidi"/>
          <w:kern w:val="2"/>
          <w:sz w:val="32"/>
          <w:szCs w:val="32"/>
          <w:lang w:val="en-US" w:eastAsia="zh-CN" w:bidi="ar-SA"/>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199.04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100.11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50.30</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val="en-US" w:eastAsia="zh-CN"/>
        </w:rPr>
        <w:t>一是</w:t>
      </w:r>
      <w:r>
        <w:rPr>
          <w:rFonts w:hint="eastAsia" w:ascii="仿宋" w:hAnsi="仿宋" w:eastAsia="仿宋" w:cs="仿宋"/>
          <w:color w:val="121212"/>
          <w:sz w:val="32"/>
          <w:szCs w:val="32"/>
          <w:lang w:eastAsia="zh-CN"/>
        </w:rPr>
        <w:t>深入</w:t>
      </w:r>
      <w:r>
        <w:rPr>
          <w:rFonts w:hint="eastAsia" w:ascii="仿宋" w:hAnsi="仿宋" w:eastAsia="仿宋" w:cs="仿宋"/>
          <w:color w:val="121212"/>
          <w:sz w:val="32"/>
          <w:szCs w:val="32"/>
        </w:rPr>
        <w:t>商业企业基层</w:t>
      </w:r>
      <w:r>
        <w:rPr>
          <w:rFonts w:hint="eastAsia" w:ascii="仿宋" w:hAnsi="仿宋" w:eastAsia="仿宋" w:cs="仿宋"/>
          <w:color w:val="121212"/>
          <w:sz w:val="32"/>
          <w:szCs w:val="32"/>
          <w:lang w:eastAsia="zh-CN"/>
        </w:rPr>
        <w:t>，</w:t>
      </w:r>
      <w:r>
        <w:rPr>
          <w:rFonts w:hint="eastAsia" w:ascii="仿宋" w:hAnsi="仿宋" w:eastAsia="仿宋" w:cs="仿宋"/>
          <w:color w:val="121212"/>
          <w:sz w:val="32"/>
          <w:szCs w:val="32"/>
        </w:rPr>
        <w:t>走访下岗企业人员、退休人员310人，及时了解他们生活中的困难，并调整具体的帮扶举措</w:t>
      </w:r>
      <w:r>
        <w:rPr>
          <w:rFonts w:hint="eastAsia" w:ascii="仿宋" w:hAnsi="仿宋" w:eastAsia="仿宋" w:cs="仿宋"/>
          <w:color w:val="121212"/>
          <w:sz w:val="32"/>
          <w:szCs w:val="32"/>
          <w:lang w:eastAsia="zh-CN"/>
        </w:rPr>
        <w:t>；</w:t>
      </w:r>
      <w:r>
        <w:rPr>
          <w:rFonts w:hint="eastAsia" w:ascii="仿宋" w:hAnsi="仿宋" w:eastAsia="仿宋" w:cs="仿宋"/>
          <w:color w:val="121212"/>
          <w:sz w:val="32"/>
          <w:szCs w:val="32"/>
          <w:lang w:val="en-US" w:eastAsia="zh-CN"/>
        </w:rPr>
        <w:t>二是</w:t>
      </w:r>
      <w:r>
        <w:rPr>
          <w:rFonts w:hint="eastAsia" w:ascii="仿宋" w:hAnsi="仿宋" w:eastAsia="仿宋" w:cs="仿宋"/>
          <w:sz w:val="32"/>
          <w:szCs w:val="32"/>
        </w:rPr>
        <w:t>做好商业系统信访维稳工作</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三是为整合屠宰资源，更好地进一步服务于各级屠商，切实保护好全县肉食品“菜篮子”工程的安全性；四是以县委全面开展“乡村振兴”工作为契机，深入空树岩乡村振兴工作村；五是</w:t>
      </w:r>
      <w:r>
        <w:rPr>
          <w:rFonts w:hint="eastAsia" w:ascii="仿宋" w:hAnsi="仿宋" w:eastAsia="仿宋" w:cs="宋体"/>
          <w:bCs/>
          <w:sz w:val="32"/>
          <w:szCs w:val="32"/>
        </w:rPr>
        <w:t>以党的政治建设为统领，以“党史学习教育”为目标，全面推进机关党建工作</w:t>
      </w:r>
      <w:r>
        <w:rPr>
          <w:rFonts w:hint="eastAsia" w:ascii="仿宋" w:hAnsi="仿宋" w:eastAsia="仿宋" w:cs="宋体"/>
          <w:bCs/>
          <w:sz w:val="32"/>
          <w:szCs w:val="32"/>
          <w:lang w:eastAsia="zh-CN"/>
        </w:rPr>
        <w:t>；</w:t>
      </w:r>
      <w:r>
        <w:rPr>
          <w:rFonts w:hint="eastAsia" w:ascii="仿宋" w:hAnsi="仿宋" w:eastAsia="仿宋" w:cs="宋体"/>
          <w:bCs/>
          <w:sz w:val="32"/>
          <w:szCs w:val="32"/>
          <w:lang w:val="en-US" w:eastAsia="zh-CN"/>
        </w:rPr>
        <w:t>六是</w:t>
      </w:r>
      <w:r>
        <w:rPr>
          <w:rFonts w:hint="eastAsia" w:ascii="仿宋" w:hAnsi="仿宋" w:eastAsia="仿宋" w:cs="仿宋"/>
          <w:sz w:val="32"/>
          <w:szCs w:val="32"/>
        </w:rPr>
        <w:t>做好机关直属企业离退休人员的管理及服务工作</w:t>
      </w:r>
      <w:r>
        <w:rPr>
          <w:rFonts w:hint="eastAsia" w:ascii="仿宋" w:hAnsi="仿宋" w:eastAsia="仿宋" w:cs="仿宋"/>
          <w:sz w:val="32"/>
          <w:szCs w:val="32"/>
          <w:lang w:eastAsia="zh-CN"/>
        </w:rPr>
        <w:t>。</w:t>
      </w:r>
      <w:r>
        <w:rPr>
          <w:rFonts w:ascii="Times New Roman" w:hAnsi="Times New Roman" w:eastAsia="仿宋_GB2312" w:cs="Times New Roman"/>
          <w:b/>
          <w:bCs/>
          <w:sz w:val="32"/>
          <w:szCs w:val="32"/>
        </w:rPr>
        <w:t>存在的问题及原因</w:t>
      </w:r>
      <w:r>
        <w:rPr>
          <w:rFonts w:hint="eastAsia" w:ascii="Times New Roman" w:hAnsi="Times New Roman" w:eastAsia="仿宋_GB2312" w:cs="Times New Roman"/>
          <w:b/>
          <w:bCs/>
          <w:sz w:val="32"/>
          <w:szCs w:val="32"/>
          <w:lang w:eastAsia="zh-CN"/>
        </w:rPr>
        <w:t>：</w:t>
      </w:r>
      <w:r>
        <w:rPr>
          <w:rFonts w:hint="eastAsia" w:ascii="仿宋_GB2312" w:hAnsi="仿宋" w:eastAsia="仿宋_GB2312" w:cstheme="minorBidi"/>
          <w:kern w:val="2"/>
          <w:sz w:val="32"/>
          <w:szCs w:val="32"/>
          <w:lang w:val="en-US" w:eastAsia="zh-CN" w:bidi="ar-SA"/>
        </w:rPr>
        <w:t>因部门整体支出的资金安排和使用上具有不可预见性，在科学设置预算绩效指标上还需进一步加强。由于行政经费少，年初编制的预算不够精确，编制范围不太全面，预算执行情况还有待进一步加强,相关管理制度还有待进一步完善。</w:t>
      </w:r>
    </w:p>
    <w:p>
      <w:pPr>
        <w:ind w:firstLine="640" w:firstLineChars="200"/>
        <w:rPr>
          <w:rFonts w:hint="eastAsia" w:ascii="仿宋_GB2312" w:hAnsi="仿宋" w:eastAsia="仿宋_GB2312" w:cstheme="minorBidi"/>
          <w:kern w:val="2"/>
          <w:sz w:val="32"/>
          <w:szCs w:val="32"/>
          <w:lang w:val="en-US" w:eastAsia="zh-CN" w:bidi="ar-SA"/>
        </w:rPr>
      </w:pPr>
      <w:r>
        <w:rPr>
          <w:rFonts w:ascii="Times New Roman" w:hAnsi="Times New Roman" w:eastAsia="仿宋_GB2312" w:cs="Times New Roman"/>
          <w:b/>
          <w:bCs/>
          <w:sz w:val="32"/>
          <w:szCs w:val="32"/>
        </w:rPr>
        <w:t>下一步改进措施</w:t>
      </w:r>
      <w:r>
        <w:rPr>
          <w:rFonts w:hint="eastAsia" w:ascii="Times New Roman" w:hAnsi="Times New Roman" w:eastAsia="仿宋_GB2312" w:cs="Times New Roman"/>
          <w:b/>
          <w:bCs/>
          <w:sz w:val="32"/>
          <w:szCs w:val="32"/>
          <w:lang w:eastAsia="zh-CN"/>
        </w:rPr>
        <w:t>：</w:t>
      </w:r>
      <w:r>
        <w:rPr>
          <w:rFonts w:hint="eastAsia" w:ascii="仿宋_GB2312" w:hAnsi="仿宋" w:eastAsia="仿宋_GB2312" w:cstheme="minorBidi"/>
          <w:kern w:val="2"/>
          <w:sz w:val="32"/>
          <w:szCs w:val="32"/>
          <w:lang w:val="en-US" w:eastAsia="zh-CN" w:bidi="ar-SA"/>
        </w:rPr>
        <w:t>加强政策学习，提高思想认识。认真学习《预算法》等相关法规、制度，提高单位领导对全面预算管理及财务工作的重视程度，增强财务人员的预算意识。规范账务处理，提高财务信息质量。严格按照《会计法》等规定执行财务核算，并结合实际情况，完整、准确地披露相关信息，尽可能地做到决算与预算相衔接。</w:t>
      </w:r>
    </w:p>
    <w:p>
      <w:pPr>
        <w:pStyle w:val="14"/>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pPr>
        <w:pStyle w:val="14"/>
        <w:overflowPunct w:val="0"/>
        <w:autoSpaceDE/>
        <w:autoSpaceDN/>
        <w:spacing w:line="600" w:lineRule="exact"/>
        <w:ind w:firstLine="640" w:firstLineChars="200"/>
        <w:jc w:val="both"/>
        <w:rPr>
          <w:rFonts w:hint="eastAsia" w:ascii="仿宋_GB2312" w:hAnsi="仿宋" w:eastAsia="仿宋_GB2312" w:cstheme="minorBidi"/>
          <w:color w:val="auto"/>
          <w:kern w:val="2"/>
          <w:sz w:val="32"/>
          <w:szCs w:val="32"/>
          <w:lang w:val="en-US" w:eastAsia="zh-CN" w:bidi="ar-SA"/>
        </w:rPr>
      </w:pPr>
      <w:r>
        <w:rPr>
          <w:rFonts w:hint="eastAsia" w:ascii="仿宋_GB2312" w:hAnsi="仿宋" w:eastAsia="仿宋_GB2312" w:cstheme="minorBidi"/>
          <w:color w:val="auto"/>
          <w:kern w:val="2"/>
          <w:sz w:val="32"/>
          <w:szCs w:val="32"/>
          <w:lang w:val="en-US" w:eastAsia="zh-CN" w:bidi="ar-SA"/>
        </w:rPr>
        <w:t>本部门严格对照 2025 年度绩效自评、部门评价及财政评价结果，全面抓好结果运用与问题整改。在预算安排上，以评价结果为重要依据，优化预算编制流程，提升预算编制精准度与全面性，强化绩效目标刚性约束。在支出结构上，聚焦商务重点工作，优先保障消费提振、招商引资、外贸提质、电商助农等重点领域资金需求，压减非刚性、非重点支出，提升资金配置效率。在资金管理上，针对预算执行不够到位、资金使用预见性不足等问题，强化全过程管控，规范账务处理与核算，推动预算与决算有效衔接，提高资金使用效益。在制度建设上，健全预算绩效、财务内控、公务接待等管理制度，严格执行《预算法》《会计法》及公务接待管理细则，完善审批流程与台账管理，以制度规范提升部门管理水平，切实把绩效评价成果转化为预算管理提质增效的实际成效。</w:t>
      </w: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2"/>
        <w:ind w:left="0" w:leftChars="0" w:firstLine="0" w:firstLineChars="0"/>
        <w:rPr>
          <w:rFonts w:ascii="Times New Roman" w:hAnsi="Times New Roman" w:cs="Times New Roman"/>
          <w:color w:val="000000"/>
          <w:kern w:val="0"/>
          <w:sz w:val="32"/>
          <w:szCs w:val="32"/>
        </w:rPr>
      </w:pPr>
    </w:p>
    <w:p>
      <w:pPr>
        <w:spacing w:after="2"/>
        <w:ind w:firstLine="643"/>
        <w:rPr>
          <w:rFonts w:ascii="仿宋_GB2312" w:eastAsia="仿宋_GB2312" w:cs="仿宋_GB2312"/>
          <w:sz w:val="21"/>
          <w:szCs w:val="21"/>
        </w:rPr>
      </w:pPr>
      <w:r>
        <w:rPr>
          <w:rFonts w:hint="eastAsia" w:ascii="仿宋_GB2312" w:eastAsia="仿宋_GB2312" w:cs="仿宋_GB2312"/>
          <w:color w:val="000000"/>
          <w:sz w:val="32"/>
          <w:szCs w:val="32"/>
          <w:lang w:val="en-US" w:eastAsia="zh-CN"/>
        </w:rPr>
        <w:t>一</w:t>
      </w:r>
      <w:r>
        <w:rPr>
          <w:rFonts w:ascii="仿宋_GB2312" w:eastAsia="仿宋_GB2312" w:cs="仿宋_GB2312"/>
          <w:color w:val="000000"/>
          <w:sz w:val="32"/>
          <w:szCs w:val="32"/>
        </w:rPr>
        <w:t>、基本支出：是指为保障单位机构正常运转、完成日常工作任务而发生的各项支出，包括用于基本工资、津贴补贴等人员经费以及办公费、印刷费、水电费、办公设备购置等日常公用经费。</w:t>
      </w:r>
      <w:r>
        <w:rPr>
          <w:rFonts w:ascii="仿宋_GB2312" w:eastAsia="仿宋_GB2312" w:cs="仿宋_GB2312"/>
          <w:color w:val="000000"/>
          <w:sz w:val="21"/>
          <w:szCs w:val="21"/>
        </w:rPr>
        <w:t xml:space="preserve"> </w:t>
      </w:r>
    </w:p>
    <w:p>
      <w:pPr>
        <w:spacing w:after="2"/>
        <w:ind w:firstLine="643"/>
        <w:rPr>
          <w:rFonts w:ascii="仿宋_GB2312" w:eastAsia="仿宋_GB2312" w:cs="仿宋_GB2312"/>
          <w:sz w:val="21"/>
          <w:szCs w:val="21"/>
        </w:rPr>
      </w:pPr>
      <w:r>
        <w:rPr>
          <w:rFonts w:hint="eastAsia" w:ascii="仿宋_GB2312" w:eastAsia="仿宋_GB2312" w:cs="仿宋_GB2312"/>
          <w:color w:val="000000"/>
          <w:sz w:val="32"/>
          <w:szCs w:val="32"/>
          <w:lang w:val="en-US" w:eastAsia="zh-CN"/>
        </w:rPr>
        <w:t>二</w:t>
      </w:r>
      <w:r>
        <w:rPr>
          <w:rFonts w:ascii="仿宋_GB2312" w:eastAsia="仿宋_GB2312" w:cs="仿宋_GB2312"/>
          <w:color w:val="000000"/>
          <w:sz w:val="32"/>
          <w:szCs w:val="32"/>
        </w:rPr>
        <w:t>、项目支出：是指单位为完成特定行政工作任务或事业发展目标而发生的支出。</w:t>
      </w:r>
      <w:r>
        <w:rPr>
          <w:rFonts w:ascii="仿宋_GB2312" w:eastAsia="仿宋_GB2312" w:cs="仿宋_GB2312"/>
          <w:color w:val="000000"/>
          <w:sz w:val="21"/>
          <w:szCs w:val="21"/>
        </w:rPr>
        <w:t xml:space="preserve"> </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 xml:space="preserve">三、“三公”经费：按照党中央、国务院有关文件及部门预算管理有关规定，“三公”经费包括因公出国（境）费、公务用车购置及运行费和公务接待费。（1）因公出国（境）费，指单位工作人员公务出国（境）的住宿费、旅费、伙食补助费、杂费、培训费等支出。（2）公务用车购置及运行费，指单位公务用车购置费（含车辆购置税）及租用费、燃料费、维修费、过路过桥费、保险费等支出。（3）公务接待费，指单位按规定开支的各类公务接待（含外宾接待）支出。 </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四、机关运行经费：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p>
    <w:p>
      <w:pPr>
        <w:pStyle w:val="2"/>
        <w:rPr>
          <w:rFonts w:hint="eastAsia" w:ascii="仿宋_GB2312" w:hAnsi="仿宋" w:eastAsia="仿宋_GB2312" w:cstheme="minorBidi"/>
          <w:kern w:val="2"/>
          <w:sz w:val="32"/>
          <w:szCs w:val="32"/>
          <w:lang w:val="en-US" w:eastAsia="zh-CN" w:bidi="ar-SA"/>
        </w:rPr>
      </w:pPr>
    </w:p>
    <w:p>
      <w:pPr>
        <w:pStyle w:val="2"/>
        <w:rPr>
          <w:rFonts w:hint="eastAsia" w:ascii="仿宋_GB2312" w:hAnsi="仿宋" w:eastAsia="仿宋_GB2312" w:cstheme="minorBidi"/>
          <w:kern w:val="2"/>
          <w:sz w:val="32"/>
          <w:szCs w:val="32"/>
          <w:lang w:val="en-US" w:eastAsia="zh-CN" w:bidi="ar-SA"/>
        </w:rPr>
      </w:pPr>
    </w:p>
    <w:p>
      <w:pPr>
        <w:pStyle w:val="2"/>
        <w:rPr>
          <w:rFonts w:hint="eastAsia" w:ascii="仿宋_GB2312" w:hAnsi="仿宋" w:eastAsia="仿宋_GB2312" w:cstheme="minorBidi"/>
          <w:kern w:val="2"/>
          <w:sz w:val="32"/>
          <w:szCs w:val="32"/>
          <w:lang w:val="en-US" w:eastAsia="zh-CN" w:bidi="ar-SA"/>
        </w:rPr>
      </w:pPr>
    </w:p>
    <w:p>
      <w:pPr>
        <w:pStyle w:val="2"/>
        <w:rPr>
          <w:rFonts w:hint="eastAsia" w:ascii="仿宋_GB2312" w:hAnsi="仿宋" w:eastAsia="仿宋_GB2312" w:cstheme="minorBidi"/>
          <w:kern w:val="2"/>
          <w:sz w:val="32"/>
          <w:szCs w:val="32"/>
          <w:lang w:val="en-US" w:eastAsia="zh-CN" w:bidi="ar-SA"/>
        </w:rPr>
      </w:pPr>
    </w:p>
    <w:p>
      <w:pPr>
        <w:pStyle w:val="2"/>
        <w:rPr>
          <w:rFonts w:hint="eastAsia" w:ascii="仿宋_GB2312" w:hAnsi="仿宋" w:eastAsia="仿宋_GB2312" w:cstheme="minorBidi"/>
          <w:kern w:val="2"/>
          <w:sz w:val="32"/>
          <w:szCs w:val="32"/>
          <w:lang w:val="en-US" w:eastAsia="zh-CN" w:bidi="ar-SA"/>
        </w:rPr>
      </w:pPr>
    </w:p>
    <w:p>
      <w:pPr>
        <w:pStyle w:val="2"/>
        <w:rPr>
          <w:rFonts w:hint="eastAsia" w:ascii="仿宋_GB2312" w:hAnsi="仿宋" w:eastAsia="仿宋_GB2312" w:cstheme="minorBidi"/>
          <w:kern w:val="2"/>
          <w:sz w:val="32"/>
          <w:szCs w:val="32"/>
          <w:lang w:val="en-US" w:eastAsia="zh-CN" w:bidi="ar-SA"/>
        </w:rPr>
      </w:pPr>
    </w:p>
    <w:p>
      <w:pPr>
        <w:pStyle w:val="2"/>
        <w:rPr>
          <w:rFonts w:hint="eastAsia" w:ascii="仿宋_GB2312" w:hAnsi="仿宋" w:eastAsia="仿宋_GB2312" w:cstheme="minorBidi"/>
          <w:kern w:val="2"/>
          <w:sz w:val="32"/>
          <w:szCs w:val="32"/>
          <w:lang w:val="en-US" w:eastAsia="zh-CN" w:bidi="ar-SA"/>
        </w:rPr>
      </w:pPr>
    </w:p>
    <w:p>
      <w:pPr>
        <w:pStyle w:val="14"/>
        <w:spacing w:line="360" w:lineRule="auto"/>
        <w:jc w:val="center"/>
        <w:rPr>
          <w:rFonts w:ascii="Times New Roman" w:hAnsi="Times New Roman" w:cs="Times New Roman"/>
          <w:sz w:val="72"/>
          <w:szCs w:val="72"/>
        </w:rPr>
      </w:pPr>
      <w:r>
        <w:rPr>
          <w:rFonts w:ascii="Times New Roman" w:hAnsi="Times New Roman" w:eastAsia="方正小标宋_GBK" w:cs="Times New Roman"/>
          <w:sz w:val="52"/>
          <w:szCs w:val="52"/>
        </w:rPr>
        <w:t>第五部分   附 件</w:t>
      </w:r>
    </w:p>
    <w:p>
      <w:pPr>
        <w:pStyle w:val="14"/>
        <w:spacing w:line="600" w:lineRule="exact"/>
        <w:ind w:firstLine="1280" w:firstLineChars="400"/>
        <w:rPr>
          <w:rFonts w:ascii="Times New Roman" w:hAnsi="Times New Roman" w:eastAsia="仿宋_GB2312" w:cs="Times New Roman"/>
          <w:sz w:val="32"/>
          <w:szCs w:val="32"/>
        </w:rPr>
      </w:pPr>
      <w:bookmarkStart w:id="3" w:name="_GoBack"/>
      <w:bookmarkEnd w:id="3"/>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4"/>
        <w:spacing w:line="600" w:lineRule="exact"/>
        <w:ind w:firstLine="640" w:firstLineChars="200"/>
        <w:rPr>
          <w:rFonts w:ascii="Times New Roman" w:hAnsi="Times New Roman" w:eastAsia="仿宋_GB2312" w:cs="Times New Roman"/>
          <w:sz w:val="32"/>
          <w:szCs w:val="3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1FA0077-F131-457D-A1B1-3EA61BEA3CD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C191390A-1869-4130-9899-7D689074D8CF}"/>
  </w:font>
  <w:font w:name="仿宋_GB2312">
    <w:panose1 w:val="02010609030101010101"/>
    <w:charset w:val="86"/>
    <w:family w:val="modern"/>
    <w:pitch w:val="default"/>
    <w:sig w:usb0="00000001" w:usb1="080E0000" w:usb2="00000000" w:usb3="00000000" w:csb0="00040000" w:csb1="00000000"/>
    <w:embedRegular r:id="rId3" w:fontKey="{51409CDB-5487-4614-B09B-2EDCBAEAF5DB}"/>
  </w:font>
  <w:font w:name="方正小标宋_GBK">
    <w:altName w:val="微软雅黑"/>
    <w:panose1 w:val="03000509000000000000"/>
    <w:charset w:val="86"/>
    <w:family w:val="script"/>
    <w:pitch w:val="default"/>
    <w:sig w:usb0="00000000" w:usb1="00000000" w:usb2="00000000" w:usb3="00000000" w:csb0="00040000" w:csb1="00000000"/>
    <w:embedRegular r:id="rId4" w:fontKey="{E5FA095F-733E-4C30-9AC4-F2007ABD051E}"/>
  </w:font>
  <w:font w:name="仿宋">
    <w:panose1 w:val="02010609060101010101"/>
    <w:charset w:val="86"/>
    <w:family w:val="auto"/>
    <w:pitch w:val="default"/>
    <w:sig w:usb0="800002BF" w:usb1="38CF7CFA" w:usb2="00000016" w:usb3="00000000" w:csb0="00040001" w:csb1="00000000"/>
    <w:embedRegular r:id="rId5" w:fontKey="{6FEBC474-C5E9-4216-93BA-8E4E4B4EFFAC}"/>
  </w:font>
  <w:font w:name="华文中宋">
    <w:altName w:val="宋体"/>
    <w:panose1 w:val="02010600040101010101"/>
    <w:charset w:val="86"/>
    <w:family w:val="auto"/>
    <w:pitch w:val="default"/>
    <w:sig w:usb0="00000000" w:usb1="00000000" w:usb2="00000000" w:usb3="00000000" w:csb0="0004009F" w:csb1="DFD70000"/>
    <w:embedRegular r:id="rId6" w:fontKey="{AFF2BD90-F20C-4F62-975C-C7CAC0A99BBD}"/>
  </w:font>
  <w:font w:name="楷体_GB2312">
    <w:panose1 w:val="02010609030101010101"/>
    <w:charset w:val="86"/>
    <w:family w:val="modern"/>
    <w:pitch w:val="default"/>
    <w:sig w:usb0="00000001" w:usb1="080E0000" w:usb2="00000000" w:usb3="00000000" w:csb0="00040000" w:csb1="00000000"/>
    <w:embedRegular r:id="rId7" w:fontKey="{CB47921C-C76D-4A86-A849-AD78F6CD6594}"/>
  </w:font>
  <w:font w:name="楷体">
    <w:panose1 w:val="02010609060101010101"/>
    <w:charset w:val="86"/>
    <w:family w:val="modern"/>
    <w:pitch w:val="default"/>
    <w:sig w:usb0="800002BF" w:usb1="38CF7CFA" w:usb2="00000016" w:usb3="00000000" w:csb0="00040001" w:csb1="00000000"/>
    <w:embedRegular r:id="rId8" w:fontKey="{5AB7F77C-94A4-40E2-88E8-C8A23F9B64C4}"/>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97D30"/>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A429BD"/>
    <w:rsid w:val="02DE7C7D"/>
    <w:rsid w:val="040F1BAA"/>
    <w:rsid w:val="04CE2A73"/>
    <w:rsid w:val="05CD3FD8"/>
    <w:rsid w:val="06E64B36"/>
    <w:rsid w:val="0766591A"/>
    <w:rsid w:val="07D57174"/>
    <w:rsid w:val="08490E71"/>
    <w:rsid w:val="088C3CD7"/>
    <w:rsid w:val="08F510A4"/>
    <w:rsid w:val="092C20BF"/>
    <w:rsid w:val="0C0A7D34"/>
    <w:rsid w:val="0C7E602C"/>
    <w:rsid w:val="0C853538"/>
    <w:rsid w:val="0D7C256C"/>
    <w:rsid w:val="0DE16873"/>
    <w:rsid w:val="0DE95727"/>
    <w:rsid w:val="114854F1"/>
    <w:rsid w:val="11A6744E"/>
    <w:rsid w:val="14691370"/>
    <w:rsid w:val="161E7712"/>
    <w:rsid w:val="16B70AB9"/>
    <w:rsid w:val="16C136E5"/>
    <w:rsid w:val="176D58E3"/>
    <w:rsid w:val="1A7A7E33"/>
    <w:rsid w:val="1B495A57"/>
    <w:rsid w:val="1BB13D28"/>
    <w:rsid w:val="1C9C00FE"/>
    <w:rsid w:val="1D152095"/>
    <w:rsid w:val="1D2624F4"/>
    <w:rsid w:val="1D484219"/>
    <w:rsid w:val="1D97DEFF"/>
    <w:rsid w:val="1DFF72E5"/>
    <w:rsid w:val="1E05469B"/>
    <w:rsid w:val="1E473C0D"/>
    <w:rsid w:val="1EFC6F07"/>
    <w:rsid w:val="1F9C084C"/>
    <w:rsid w:val="20174376"/>
    <w:rsid w:val="20486E6F"/>
    <w:rsid w:val="20564E9E"/>
    <w:rsid w:val="20831A0C"/>
    <w:rsid w:val="21696E53"/>
    <w:rsid w:val="219C05E2"/>
    <w:rsid w:val="23CD1735"/>
    <w:rsid w:val="23E76EA7"/>
    <w:rsid w:val="24C518D9"/>
    <w:rsid w:val="24F9229C"/>
    <w:rsid w:val="2624159B"/>
    <w:rsid w:val="26FE003E"/>
    <w:rsid w:val="278F04AC"/>
    <w:rsid w:val="282C4737"/>
    <w:rsid w:val="287B7B98"/>
    <w:rsid w:val="28C57065"/>
    <w:rsid w:val="2B312790"/>
    <w:rsid w:val="2B522706"/>
    <w:rsid w:val="2BAB0C35"/>
    <w:rsid w:val="2BB259A6"/>
    <w:rsid w:val="2BB67139"/>
    <w:rsid w:val="2C412EA7"/>
    <w:rsid w:val="2C5A1872"/>
    <w:rsid w:val="2D2E08B5"/>
    <w:rsid w:val="2DF80288"/>
    <w:rsid w:val="2E382087"/>
    <w:rsid w:val="2E743646"/>
    <w:rsid w:val="2F697C1D"/>
    <w:rsid w:val="2FCB2133"/>
    <w:rsid w:val="2FDF85B8"/>
    <w:rsid w:val="2FFFEE04"/>
    <w:rsid w:val="306B7870"/>
    <w:rsid w:val="30DD6F16"/>
    <w:rsid w:val="30F53C3C"/>
    <w:rsid w:val="31B47C77"/>
    <w:rsid w:val="322F676F"/>
    <w:rsid w:val="32764F2C"/>
    <w:rsid w:val="330B1B18"/>
    <w:rsid w:val="33331E0D"/>
    <w:rsid w:val="33E800AC"/>
    <w:rsid w:val="34D32B0A"/>
    <w:rsid w:val="34DF85B0"/>
    <w:rsid w:val="351B1DBB"/>
    <w:rsid w:val="35512080"/>
    <w:rsid w:val="361C5DEB"/>
    <w:rsid w:val="36362BA5"/>
    <w:rsid w:val="368D6CE8"/>
    <w:rsid w:val="372A4537"/>
    <w:rsid w:val="37CA01F4"/>
    <w:rsid w:val="388365F5"/>
    <w:rsid w:val="38A26A7B"/>
    <w:rsid w:val="3A3E7A83"/>
    <w:rsid w:val="3AD969A0"/>
    <w:rsid w:val="3B8F36BC"/>
    <w:rsid w:val="3D127F47"/>
    <w:rsid w:val="3E97654E"/>
    <w:rsid w:val="3EEC0B43"/>
    <w:rsid w:val="3F081602"/>
    <w:rsid w:val="41FF0A9A"/>
    <w:rsid w:val="42002A64"/>
    <w:rsid w:val="4457770E"/>
    <w:rsid w:val="46405B25"/>
    <w:rsid w:val="469B2D5C"/>
    <w:rsid w:val="477305A8"/>
    <w:rsid w:val="4826649F"/>
    <w:rsid w:val="491FF225"/>
    <w:rsid w:val="4A8B7E2C"/>
    <w:rsid w:val="4B1D6435"/>
    <w:rsid w:val="4DC62DB4"/>
    <w:rsid w:val="4E1E499E"/>
    <w:rsid w:val="4EED47BA"/>
    <w:rsid w:val="4F7D74A2"/>
    <w:rsid w:val="4FA40ED3"/>
    <w:rsid w:val="4FFD214C"/>
    <w:rsid w:val="50C25AB5"/>
    <w:rsid w:val="50F32112"/>
    <w:rsid w:val="519D39C9"/>
    <w:rsid w:val="51F55A16"/>
    <w:rsid w:val="530C1269"/>
    <w:rsid w:val="531445C2"/>
    <w:rsid w:val="556E49F0"/>
    <w:rsid w:val="558603BE"/>
    <w:rsid w:val="55CB2B6A"/>
    <w:rsid w:val="55E262B1"/>
    <w:rsid w:val="574F7976"/>
    <w:rsid w:val="5777D4F5"/>
    <w:rsid w:val="57896FF8"/>
    <w:rsid w:val="58F27B8D"/>
    <w:rsid w:val="59DD8326"/>
    <w:rsid w:val="5A2E7D17"/>
    <w:rsid w:val="5B523ED9"/>
    <w:rsid w:val="5B66204A"/>
    <w:rsid w:val="5BD75A6D"/>
    <w:rsid w:val="5CC91F79"/>
    <w:rsid w:val="5CDC7EFE"/>
    <w:rsid w:val="5DEF592A"/>
    <w:rsid w:val="5EC944B2"/>
    <w:rsid w:val="5ED370DF"/>
    <w:rsid w:val="5F061262"/>
    <w:rsid w:val="5F777B86"/>
    <w:rsid w:val="5F8913FD"/>
    <w:rsid w:val="5FAE5456"/>
    <w:rsid w:val="5FC6BB1E"/>
    <w:rsid w:val="5FF720F1"/>
    <w:rsid w:val="60996106"/>
    <w:rsid w:val="625974FA"/>
    <w:rsid w:val="62AF7E63"/>
    <w:rsid w:val="62D02D0B"/>
    <w:rsid w:val="63BC6393"/>
    <w:rsid w:val="65B03CD6"/>
    <w:rsid w:val="671B1623"/>
    <w:rsid w:val="674B1DDA"/>
    <w:rsid w:val="67FF5C0B"/>
    <w:rsid w:val="686D50E9"/>
    <w:rsid w:val="68FB5BB0"/>
    <w:rsid w:val="694766FF"/>
    <w:rsid w:val="69BA0107"/>
    <w:rsid w:val="69F01538"/>
    <w:rsid w:val="6B146AB5"/>
    <w:rsid w:val="6B2313EE"/>
    <w:rsid w:val="6C3A079D"/>
    <w:rsid w:val="6CA10C16"/>
    <w:rsid w:val="6CB96DE9"/>
    <w:rsid w:val="6CBA00A8"/>
    <w:rsid w:val="6D887688"/>
    <w:rsid w:val="6E423939"/>
    <w:rsid w:val="6E494CC8"/>
    <w:rsid w:val="6EFA4214"/>
    <w:rsid w:val="6EFC0924"/>
    <w:rsid w:val="6F1620A4"/>
    <w:rsid w:val="6F1E7F02"/>
    <w:rsid w:val="6FB74722"/>
    <w:rsid w:val="6FEF8B7E"/>
    <w:rsid w:val="7019691C"/>
    <w:rsid w:val="7033420B"/>
    <w:rsid w:val="713759CD"/>
    <w:rsid w:val="716F713B"/>
    <w:rsid w:val="71A6591B"/>
    <w:rsid w:val="71CF7BDA"/>
    <w:rsid w:val="71DB3B23"/>
    <w:rsid w:val="71DF5A18"/>
    <w:rsid w:val="72507E40"/>
    <w:rsid w:val="737D59BA"/>
    <w:rsid w:val="74010B7E"/>
    <w:rsid w:val="76F346C7"/>
    <w:rsid w:val="770D3470"/>
    <w:rsid w:val="779F1DFC"/>
    <w:rsid w:val="77BE269C"/>
    <w:rsid w:val="77C37683"/>
    <w:rsid w:val="77F02658"/>
    <w:rsid w:val="79A27982"/>
    <w:rsid w:val="79D19834"/>
    <w:rsid w:val="79FF515B"/>
    <w:rsid w:val="7A1E34AC"/>
    <w:rsid w:val="7A655075"/>
    <w:rsid w:val="7A756E44"/>
    <w:rsid w:val="7B6C6C16"/>
    <w:rsid w:val="7BA051AE"/>
    <w:rsid w:val="7BF549BF"/>
    <w:rsid w:val="7C10151B"/>
    <w:rsid w:val="7CD51E1C"/>
    <w:rsid w:val="7D143195"/>
    <w:rsid w:val="7E581254"/>
    <w:rsid w:val="7E896090"/>
    <w:rsid w:val="7E9E1962"/>
    <w:rsid w:val="7E9F11B4"/>
    <w:rsid w:val="7EAF0B77"/>
    <w:rsid w:val="7F37EC1E"/>
    <w:rsid w:val="7F7DCD9D"/>
    <w:rsid w:val="7F970A6F"/>
    <w:rsid w:val="7F9A1827"/>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列出段落1"/>
    <w:qFormat/>
    <w:uiPriority w:val="0"/>
    <w:pPr>
      <w:widowControl w:val="0"/>
      <w:ind w:firstLine="420"/>
      <w:jc w:val="both"/>
    </w:pPr>
    <w:rPr>
      <w:rFonts w:ascii="Times New Roman" w:hAnsi="Times New Roman" w:eastAsia="宋体" w:cs="黑体"/>
      <w:kern w:val="2"/>
      <w:sz w:val="21"/>
      <w:szCs w:val="24"/>
      <w:lang w:val="en-US" w:eastAsia="zh-CN" w:bidi="ar-SA"/>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styleId="11">
    <w:name w:val="Strong"/>
    <w:basedOn w:val="10"/>
    <w:qFormat/>
    <w:uiPriority w:val="22"/>
    <w:rPr>
      <w:b/>
    </w:rPr>
  </w:style>
  <w:style w:type="character" w:customStyle="1" w:styleId="12">
    <w:name w:val="页眉 Char"/>
    <w:basedOn w:val="10"/>
    <w:link w:val="7"/>
    <w:qFormat/>
    <w:uiPriority w:val="99"/>
    <w:rPr>
      <w:sz w:val="18"/>
      <w:szCs w:val="18"/>
    </w:rPr>
  </w:style>
  <w:style w:type="character" w:customStyle="1" w:styleId="13">
    <w:name w:val="页脚 Char"/>
    <w:basedOn w:val="10"/>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0"/>
    <w:link w:val="5"/>
    <w:semiHidden/>
    <w:qFormat/>
    <w:uiPriority w:val="99"/>
    <w:rPr>
      <w:sz w:val="18"/>
      <w:szCs w:val="18"/>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2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7375</Words>
  <Characters>8445</Characters>
  <Lines>69</Lines>
  <Paragraphs>19</Paragraphs>
  <TotalTime>9</TotalTime>
  <ScaleCrop>false</ScaleCrop>
  <LinksUpToDate>false</LinksUpToDate>
  <CharactersWithSpaces>9645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水蜜桃</cp:lastModifiedBy>
  <cp:lastPrinted>2026-09-09T10:14:00Z</cp:lastPrinted>
  <dcterms:modified xsi:type="dcterms:W3CDTF">2026-09-15T00:56:38Z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0300115B5D7E4D25A55E97F44EDC90AC_13</vt:lpwstr>
  </property>
  <property fmtid="{D5CDD505-2E9C-101B-9397-08002B2CF9AE}" pid="4" name="KSOTemplateDocerSaveRecord">
    <vt:lpwstr>eyJoZGlkIjoiNTJhZmI3NWU3MjI4ZDkyYjE3ZDdlZDJlMTI4ZTFjNzkiLCJ1c2VySWQiOiI3MTA2NDI4OTQifQ==</vt:lpwstr>
  </property>
</Properties>
</file>