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931F06">
      <w:pPr>
        <w:rPr>
          <w:rFonts w:eastAsia="黑体"/>
          <w:sz w:val="32"/>
          <w:szCs w:val="32"/>
        </w:rPr>
      </w:pPr>
      <w:r>
        <w:rPr>
          <w:rFonts w:hint="eastAsia" w:ascii="黑体" w:hAnsi="黑体" w:eastAsia="黑体" w:cs="黑体"/>
          <w:sz w:val="32"/>
          <w:szCs w:val="32"/>
        </w:rPr>
        <w:t>附件3</w:t>
      </w:r>
    </w:p>
    <w:p w14:paraId="09D9329A">
      <w:pPr>
        <w:spacing w:line="600" w:lineRule="exact"/>
        <w:rPr>
          <w:rFonts w:eastAsia="黑体"/>
          <w:sz w:val="32"/>
          <w:szCs w:val="32"/>
        </w:rPr>
      </w:pPr>
    </w:p>
    <w:p w14:paraId="7EE4691C">
      <w:pPr>
        <w:jc w:val="center"/>
        <w:rPr>
          <w:rFonts w:hint="eastAsia" w:ascii="方正小标宋简体" w:eastAsia="方正小标宋简体"/>
          <w:sz w:val="52"/>
          <w:szCs w:val="52"/>
        </w:rPr>
      </w:pPr>
      <w:r>
        <w:rPr>
          <w:rFonts w:hint="eastAsia" w:ascii="方正小标宋简体" w:eastAsia="方正小标宋简体"/>
          <w:sz w:val="52"/>
          <w:szCs w:val="52"/>
        </w:rPr>
        <w:t>2025年度</w:t>
      </w:r>
      <w:r>
        <w:rPr>
          <w:rFonts w:hint="eastAsia" w:ascii="方正小标宋简体" w:eastAsia="方正小标宋简体"/>
          <w:sz w:val="52"/>
          <w:szCs w:val="52"/>
          <w:lang w:eastAsia="zh-CN"/>
        </w:rPr>
        <w:t>道县县委改革与发展研究中心</w:t>
      </w:r>
      <w:r>
        <w:rPr>
          <w:rFonts w:hint="eastAsia" w:ascii="方正小标宋简体" w:eastAsia="方正小标宋简体"/>
          <w:sz w:val="52"/>
          <w:szCs w:val="52"/>
        </w:rPr>
        <w:t>部门（单位）整体支出</w:t>
      </w:r>
    </w:p>
    <w:p w14:paraId="476CA62C">
      <w:pPr>
        <w:jc w:val="center"/>
        <w:rPr>
          <w:rFonts w:hint="eastAsia" w:ascii="方正小标宋简体" w:eastAsia="方正小标宋简体"/>
          <w:sz w:val="52"/>
          <w:szCs w:val="52"/>
        </w:rPr>
      </w:pPr>
      <w:r>
        <w:rPr>
          <w:rFonts w:hint="eastAsia" w:ascii="方正小标宋简体" w:eastAsia="方正小标宋简体"/>
          <w:sz w:val="52"/>
          <w:szCs w:val="52"/>
        </w:rPr>
        <w:t>绩效自评报告</w:t>
      </w:r>
    </w:p>
    <w:p w14:paraId="5DCFDC1D">
      <w:pPr>
        <w:jc w:val="center"/>
        <w:rPr>
          <w:rFonts w:eastAsia="方正小标宋_GBK"/>
          <w:b/>
          <w:sz w:val="52"/>
          <w:szCs w:val="52"/>
        </w:rPr>
      </w:pPr>
    </w:p>
    <w:p w14:paraId="546876E3">
      <w:pPr>
        <w:jc w:val="center"/>
        <w:rPr>
          <w:rFonts w:eastAsia="楷体_GB2312"/>
          <w:b/>
          <w:sz w:val="32"/>
          <w:szCs w:val="32"/>
        </w:rPr>
      </w:pPr>
    </w:p>
    <w:p w14:paraId="7C3AE7DF">
      <w:pPr>
        <w:rPr>
          <w:rFonts w:eastAsia="楷体_GB2312"/>
          <w:b/>
          <w:sz w:val="32"/>
          <w:szCs w:val="32"/>
        </w:rPr>
      </w:pPr>
    </w:p>
    <w:p w14:paraId="04C49B37">
      <w:pPr>
        <w:jc w:val="center"/>
        <w:rPr>
          <w:rFonts w:eastAsia="黑体"/>
          <w:sz w:val="32"/>
          <w:szCs w:val="32"/>
        </w:rPr>
      </w:pPr>
    </w:p>
    <w:p w14:paraId="150E38DF">
      <w:pPr>
        <w:jc w:val="center"/>
        <w:rPr>
          <w:rFonts w:eastAsia="黑体"/>
          <w:sz w:val="32"/>
          <w:szCs w:val="32"/>
        </w:rPr>
      </w:pPr>
    </w:p>
    <w:p w14:paraId="44964F7F">
      <w:pPr>
        <w:jc w:val="center"/>
        <w:rPr>
          <w:rFonts w:eastAsia="黑体"/>
          <w:sz w:val="32"/>
          <w:szCs w:val="32"/>
        </w:rPr>
      </w:pPr>
    </w:p>
    <w:p w14:paraId="4793300E">
      <w:pPr>
        <w:jc w:val="center"/>
        <w:rPr>
          <w:rFonts w:eastAsia="黑体"/>
          <w:sz w:val="32"/>
          <w:szCs w:val="32"/>
        </w:rPr>
      </w:pPr>
    </w:p>
    <w:p w14:paraId="74E39D29">
      <w:pPr>
        <w:rPr>
          <w:rFonts w:eastAsia="黑体"/>
          <w:sz w:val="32"/>
          <w:szCs w:val="32"/>
        </w:rPr>
      </w:pPr>
    </w:p>
    <w:p w14:paraId="2FC985B3">
      <w:pPr>
        <w:jc w:val="center"/>
        <w:rPr>
          <w:rFonts w:eastAsia="黑体"/>
          <w:sz w:val="32"/>
          <w:szCs w:val="32"/>
        </w:rPr>
      </w:pPr>
    </w:p>
    <w:p w14:paraId="33FC63DE">
      <w:pPr>
        <w:jc w:val="center"/>
        <w:rPr>
          <w:rFonts w:eastAsia="黑体"/>
          <w:sz w:val="32"/>
          <w:szCs w:val="32"/>
        </w:rPr>
      </w:pPr>
    </w:p>
    <w:p w14:paraId="250DB202">
      <w:pPr>
        <w:jc w:val="center"/>
        <w:rPr>
          <w:rFonts w:eastAsia="黑体"/>
          <w:sz w:val="32"/>
          <w:szCs w:val="32"/>
        </w:rPr>
      </w:pPr>
    </w:p>
    <w:p w14:paraId="77C5B204">
      <w:pPr>
        <w:spacing w:line="600" w:lineRule="exact"/>
        <w:jc w:val="center"/>
        <w:rPr>
          <w:rFonts w:eastAsia="仿宋_GB2312"/>
          <w:sz w:val="32"/>
          <w:szCs w:val="32"/>
          <w:u w:val="single"/>
        </w:rPr>
      </w:pPr>
      <w:r>
        <w:rPr>
          <w:rFonts w:eastAsia="仿宋_GB2312"/>
          <w:sz w:val="32"/>
          <w:szCs w:val="32"/>
        </w:rPr>
        <w:t>单位名称：</w:t>
      </w:r>
      <w:r>
        <w:rPr>
          <w:rFonts w:eastAsia="仿宋_GB2312"/>
          <w:sz w:val="32"/>
          <w:szCs w:val="32"/>
          <w:u w:val="single"/>
        </w:rPr>
        <w:t>（盖章）</w:t>
      </w:r>
      <w:r>
        <w:rPr>
          <w:rFonts w:hint="eastAsia" w:eastAsia="仿宋_GB2312"/>
          <w:sz w:val="32"/>
          <w:szCs w:val="32"/>
          <w:u w:val="single"/>
          <w:lang w:eastAsia="zh-CN"/>
        </w:rPr>
        <w:t>道县县委改革与发展研究中心</w:t>
      </w:r>
    </w:p>
    <w:p w14:paraId="080E400D">
      <w:pPr>
        <w:spacing w:line="600" w:lineRule="exact"/>
        <w:ind w:firstLine="3200" w:firstLineChars="1000"/>
        <w:rPr>
          <w:rFonts w:eastAsia="楷体_GB2312"/>
          <w:sz w:val="32"/>
          <w:szCs w:val="32"/>
        </w:rPr>
      </w:pPr>
      <w:r>
        <w:rPr>
          <w:rFonts w:hint="eastAsia" w:eastAsia="楷体_GB2312"/>
          <w:sz w:val="32"/>
          <w:szCs w:val="32"/>
          <w:lang w:val="en-US" w:eastAsia="zh-CN"/>
        </w:rPr>
        <w:t>2026</w:t>
      </w:r>
      <w:r>
        <w:rPr>
          <w:rFonts w:eastAsia="楷体_GB2312"/>
          <w:sz w:val="32"/>
          <w:szCs w:val="32"/>
        </w:rPr>
        <w:t xml:space="preserve">年 </w:t>
      </w:r>
      <w:r>
        <w:rPr>
          <w:rFonts w:hint="eastAsia" w:eastAsia="楷体_GB2312"/>
          <w:sz w:val="32"/>
          <w:szCs w:val="32"/>
          <w:lang w:val="en-US" w:eastAsia="zh-CN"/>
        </w:rPr>
        <w:t>6</w:t>
      </w:r>
      <w:r>
        <w:rPr>
          <w:rFonts w:eastAsia="楷体_GB2312"/>
          <w:sz w:val="32"/>
          <w:szCs w:val="32"/>
        </w:rPr>
        <w:t xml:space="preserve"> 月 </w:t>
      </w:r>
      <w:r>
        <w:rPr>
          <w:rFonts w:hint="eastAsia" w:eastAsia="楷体_GB2312"/>
          <w:sz w:val="32"/>
          <w:szCs w:val="32"/>
          <w:lang w:val="en-US" w:eastAsia="zh-CN"/>
        </w:rPr>
        <w:t>23</w:t>
      </w:r>
      <w:r>
        <w:rPr>
          <w:rFonts w:eastAsia="楷体_GB2312"/>
          <w:sz w:val="32"/>
          <w:szCs w:val="32"/>
        </w:rPr>
        <w:t xml:space="preserve"> 日</w:t>
      </w:r>
    </w:p>
    <w:p w14:paraId="0AC763A8">
      <w:pPr>
        <w:jc w:val="center"/>
        <w:rPr>
          <w:rFonts w:eastAsia="黑体"/>
          <w:sz w:val="32"/>
          <w:szCs w:val="32"/>
        </w:rPr>
      </w:pPr>
    </w:p>
    <w:p w14:paraId="523167FC">
      <w:pPr>
        <w:jc w:val="center"/>
        <w:rPr>
          <w:rFonts w:eastAsia="仿宋_GB2312"/>
          <w:sz w:val="32"/>
          <w:szCs w:val="32"/>
        </w:rPr>
      </w:pPr>
      <w:r>
        <w:rPr>
          <w:rFonts w:eastAsia="仿宋_GB2312"/>
          <w:sz w:val="32"/>
          <w:szCs w:val="32"/>
        </w:rPr>
        <w:t>（此页为封面）</w:t>
      </w:r>
    </w:p>
    <w:p w14:paraId="44CF4356">
      <w:pPr>
        <w:spacing w:line="570" w:lineRule="exact"/>
        <w:ind w:firstLine="640" w:firstLineChars="200"/>
        <w:rPr>
          <w:rFonts w:eastAsia="黑体"/>
          <w:sz w:val="32"/>
          <w:szCs w:val="32"/>
        </w:rPr>
      </w:pPr>
      <w:r>
        <w:rPr>
          <w:rFonts w:eastAsia="仿宋_GB2312"/>
          <w:sz w:val="32"/>
          <w:szCs w:val="32"/>
        </w:rPr>
        <w:br w:type="page"/>
      </w:r>
      <w:r>
        <w:rPr>
          <w:rFonts w:hint="eastAsia" w:ascii="黑体" w:hAnsi="黑体" w:eastAsia="黑体" w:cs="黑体"/>
          <w:sz w:val="32"/>
          <w:szCs w:val="32"/>
        </w:rPr>
        <w:t>一、</w:t>
      </w:r>
      <w:r>
        <w:rPr>
          <w:rFonts w:eastAsia="黑体"/>
          <w:sz w:val="32"/>
          <w:szCs w:val="32"/>
        </w:rPr>
        <w:t>部门（单位）基本情况</w:t>
      </w:r>
    </w:p>
    <w:p w14:paraId="219C0E96">
      <w:pPr>
        <w:pStyle w:val="4"/>
        <w:spacing w:line="570" w:lineRule="exact"/>
        <w:ind w:firstLine="640"/>
        <w:rPr>
          <w:rFonts w:hint="eastAsia" w:ascii="仿宋_GB2312" w:eastAsia="仿宋_GB2312"/>
          <w:sz w:val="32"/>
          <w:szCs w:val="32"/>
        </w:rPr>
      </w:pPr>
      <w:r>
        <w:rPr>
          <w:rFonts w:hint="eastAsia" w:ascii="仿宋_GB2312" w:eastAsia="仿宋_GB2312"/>
          <w:sz w:val="32"/>
          <w:szCs w:val="32"/>
        </w:rPr>
        <w:t>（一）部门（单位）基本情况</w:t>
      </w:r>
    </w:p>
    <w:p w14:paraId="11842EC8">
      <w:pPr>
        <w:pStyle w:val="4"/>
        <w:spacing w:line="570" w:lineRule="exact"/>
        <w:ind w:firstLine="640"/>
        <w:rPr>
          <w:rFonts w:hint="eastAsia" w:ascii="仿宋_GB2312" w:eastAsia="仿宋_GB2312"/>
          <w:sz w:val="32"/>
          <w:szCs w:val="32"/>
        </w:rPr>
      </w:pPr>
      <w:r>
        <w:rPr>
          <w:rFonts w:hint="eastAsia" w:ascii="仿宋_GB2312" w:eastAsia="仿宋_GB2312"/>
          <w:sz w:val="32"/>
          <w:szCs w:val="32"/>
        </w:rPr>
        <w:t>1、职能职责</w:t>
      </w:r>
    </w:p>
    <w:p w14:paraId="4921C7DD">
      <w:pPr>
        <w:pStyle w:val="4"/>
        <w:spacing w:line="570" w:lineRule="exact"/>
        <w:ind w:firstLine="640"/>
        <w:rPr>
          <w:rFonts w:hint="eastAsia" w:ascii="仿宋_GB2312" w:eastAsia="仿宋_GB2312"/>
          <w:sz w:val="32"/>
          <w:szCs w:val="32"/>
        </w:rPr>
      </w:pPr>
      <w:r>
        <w:rPr>
          <w:rFonts w:hint="eastAsia" w:ascii="仿宋_GB2312" w:eastAsia="仿宋_GB2312"/>
          <w:sz w:val="32"/>
          <w:szCs w:val="32"/>
        </w:rPr>
        <w:t>根据中共道县县委机构编制委员会关于印发《中共道县县委改革与发展研究中心职能配置、内设机构和人员编制规定的通知》（道编发〔2020〕17号）规定，县委改革与发展研究中心主要工作职责是：</w:t>
      </w:r>
    </w:p>
    <w:p w14:paraId="064618D4">
      <w:pPr>
        <w:pStyle w:val="4"/>
        <w:spacing w:line="570" w:lineRule="exact"/>
        <w:ind w:firstLine="640"/>
        <w:rPr>
          <w:rFonts w:hint="eastAsia" w:ascii="仿宋_GB2312" w:eastAsia="仿宋_GB2312"/>
          <w:sz w:val="32"/>
          <w:szCs w:val="32"/>
        </w:rPr>
      </w:pPr>
      <w:r>
        <w:rPr>
          <w:rFonts w:hint="eastAsia" w:ascii="仿宋_GB2312" w:eastAsia="仿宋_GB2312"/>
          <w:sz w:val="32"/>
          <w:szCs w:val="32"/>
        </w:rPr>
        <w:t>1、负责县委主要领导同志重要讲话、报告等文稿服务以及有关新闻稿的审定。</w:t>
      </w:r>
    </w:p>
    <w:p w14:paraId="3BA809DC">
      <w:pPr>
        <w:pStyle w:val="4"/>
        <w:spacing w:line="570" w:lineRule="exact"/>
        <w:ind w:firstLine="640"/>
        <w:rPr>
          <w:rFonts w:hint="eastAsia" w:ascii="仿宋_GB2312" w:eastAsia="仿宋_GB2312"/>
          <w:sz w:val="32"/>
          <w:szCs w:val="32"/>
        </w:rPr>
      </w:pPr>
      <w:r>
        <w:rPr>
          <w:rFonts w:hint="eastAsia" w:ascii="仿宋_GB2312" w:eastAsia="仿宋_GB2312"/>
          <w:sz w:val="32"/>
          <w:szCs w:val="32"/>
        </w:rPr>
        <w:t>2、搜集整理县内外政治、经济、文化、社会、生态等方面的重要资料，为县委领导提供决策信息和依据。</w:t>
      </w:r>
    </w:p>
    <w:p w14:paraId="34DC2531">
      <w:pPr>
        <w:pStyle w:val="4"/>
        <w:spacing w:line="570" w:lineRule="exact"/>
        <w:ind w:firstLine="640"/>
        <w:rPr>
          <w:rFonts w:hint="eastAsia" w:ascii="仿宋_GB2312" w:eastAsia="仿宋_GB2312"/>
          <w:sz w:val="32"/>
          <w:szCs w:val="32"/>
        </w:rPr>
      </w:pPr>
      <w:r>
        <w:rPr>
          <w:rFonts w:hint="eastAsia" w:ascii="仿宋_GB2312" w:eastAsia="仿宋_GB2312"/>
          <w:sz w:val="32"/>
          <w:szCs w:val="32"/>
        </w:rPr>
        <w:t>3、受县委的委托，围绕事关全县全局性、综合性、战略性、长期性的问题开展政策跟踪研究和超前谋划，为县委决策提供符合实际的决策依据和参谋服务。</w:t>
      </w:r>
    </w:p>
    <w:p w14:paraId="24C0EF8B">
      <w:pPr>
        <w:pStyle w:val="4"/>
        <w:spacing w:line="570" w:lineRule="exact"/>
        <w:ind w:firstLine="640"/>
        <w:rPr>
          <w:rFonts w:hint="eastAsia" w:ascii="仿宋_GB2312" w:eastAsia="仿宋_GB2312"/>
          <w:sz w:val="32"/>
          <w:szCs w:val="32"/>
        </w:rPr>
      </w:pPr>
      <w:r>
        <w:rPr>
          <w:rFonts w:hint="eastAsia" w:ascii="仿宋_GB2312" w:eastAsia="仿宋_GB2312"/>
          <w:sz w:val="32"/>
          <w:szCs w:val="32"/>
        </w:rPr>
        <w:t>4、受县委的委托，起草县委全会工作报告、县委经济工作报告以及全局性、综合性的新闻发布、检查汇报、典型材料等材料；积极参与和配合有关部门起草、修订县委有关政策性文件、意见、制度。</w:t>
      </w:r>
    </w:p>
    <w:p w14:paraId="797E5264">
      <w:pPr>
        <w:pStyle w:val="4"/>
        <w:spacing w:line="570" w:lineRule="exact"/>
        <w:ind w:firstLine="640"/>
        <w:rPr>
          <w:rFonts w:hint="eastAsia" w:ascii="仿宋_GB2312" w:eastAsia="仿宋_GB2312"/>
          <w:sz w:val="32"/>
          <w:szCs w:val="32"/>
        </w:rPr>
      </w:pPr>
      <w:r>
        <w:rPr>
          <w:rFonts w:hint="eastAsia" w:ascii="仿宋_GB2312" w:eastAsia="仿宋_GB2312"/>
          <w:sz w:val="32"/>
          <w:szCs w:val="32"/>
        </w:rPr>
        <w:t>5、受县委的委托，围绕县委总体工作部署、全县中心工作和县委领导交办的调研课题开展调查研究，提出预案和建议；针对贯彻落实党的路线、方针、政策情况开展专题调查研究，为县委科学决策提供参考。</w:t>
      </w:r>
    </w:p>
    <w:p w14:paraId="0B930D23">
      <w:pPr>
        <w:pStyle w:val="4"/>
        <w:spacing w:line="570" w:lineRule="exact"/>
        <w:ind w:firstLine="640"/>
        <w:rPr>
          <w:rFonts w:hint="eastAsia" w:ascii="仿宋_GB2312" w:eastAsia="仿宋_GB2312"/>
          <w:sz w:val="32"/>
          <w:szCs w:val="32"/>
        </w:rPr>
      </w:pPr>
      <w:r>
        <w:rPr>
          <w:rFonts w:hint="eastAsia" w:ascii="仿宋_GB2312" w:eastAsia="仿宋_GB2312"/>
          <w:sz w:val="32"/>
          <w:szCs w:val="32"/>
        </w:rPr>
        <w:t>6、编制与出版内部期刊，反映我县改革与发展问题的研究成果，报道全县改革与发展的先进做法，传递外地改革与发展的相关信息，指导全县改革与发展工作。</w:t>
      </w:r>
    </w:p>
    <w:p w14:paraId="5BE01324">
      <w:pPr>
        <w:pStyle w:val="4"/>
        <w:spacing w:line="570" w:lineRule="exact"/>
        <w:ind w:firstLine="640"/>
        <w:rPr>
          <w:rFonts w:hint="eastAsia" w:ascii="仿宋_GB2312" w:eastAsia="仿宋_GB2312"/>
          <w:sz w:val="32"/>
          <w:szCs w:val="32"/>
        </w:rPr>
      </w:pPr>
      <w:r>
        <w:rPr>
          <w:rFonts w:hint="eastAsia" w:ascii="仿宋_GB2312" w:eastAsia="仿宋_GB2312"/>
          <w:sz w:val="32"/>
          <w:szCs w:val="32"/>
        </w:rPr>
        <w:t>7、承办县委交办的其他事项。</w:t>
      </w:r>
    </w:p>
    <w:p w14:paraId="3371DEC8">
      <w:pPr>
        <w:pStyle w:val="4"/>
        <w:spacing w:line="570" w:lineRule="exact"/>
        <w:ind w:firstLine="640"/>
        <w:rPr>
          <w:rFonts w:hint="eastAsia" w:ascii="仿宋_GB2312" w:eastAsia="仿宋_GB2312"/>
          <w:sz w:val="32"/>
          <w:szCs w:val="32"/>
        </w:rPr>
      </w:pPr>
      <w:r>
        <w:rPr>
          <w:rFonts w:hint="eastAsia" w:ascii="仿宋_GB2312" w:eastAsia="仿宋_GB2312"/>
          <w:sz w:val="32"/>
          <w:szCs w:val="32"/>
        </w:rPr>
        <w:t>2、机构设置</w:t>
      </w:r>
    </w:p>
    <w:p w14:paraId="0233AB8D">
      <w:pPr>
        <w:pStyle w:val="4"/>
        <w:spacing w:line="570" w:lineRule="exact"/>
        <w:ind w:firstLine="640"/>
        <w:rPr>
          <w:rFonts w:hint="eastAsia" w:ascii="仿宋_GB2312" w:eastAsia="仿宋_GB2312"/>
          <w:sz w:val="32"/>
          <w:szCs w:val="32"/>
        </w:rPr>
      </w:pPr>
      <w:r>
        <w:rPr>
          <w:rFonts w:hint="eastAsia" w:ascii="仿宋_GB2312" w:eastAsia="仿宋_GB2312"/>
          <w:sz w:val="32"/>
          <w:szCs w:val="32"/>
        </w:rPr>
        <w:t>2025年底，本单位设4个内部机构：综合室、文稿室、改革发展研究室、信息服务室。</w:t>
      </w:r>
    </w:p>
    <w:p w14:paraId="2A18F3F4">
      <w:pPr>
        <w:pStyle w:val="4"/>
        <w:spacing w:line="570" w:lineRule="exact"/>
        <w:ind w:firstLine="640"/>
        <w:rPr>
          <w:rFonts w:hint="eastAsia" w:ascii="仿宋_GB2312" w:eastAsia="仿宋_GB2312"/>
          <w:sz w:val="32"/>
          <w:szCs w:val="32"/>
        </w:rPr>
      </w:pPr>
      <w:r>
        <w:rPr>
          <w:rFonts w:hint="eastAsia" w:ascii="仿宋_GB2312" w:eastAsia="仿宋_GB2312"/>
          <w:sz w:val="32"/>
          <w:szCs w:val="32"/>
        </w:rPr>
        <w:t>3、决算单位构成</w:t>
      </w:r>
    </w:p>
    <w:p w14:paraId="3528785E">
      <w:pPr>
        <w:pStyle w:val="4"/>
        <w:spacing w:line="570" w:lineRule="exact"/>
        <w:ind w:firstLine="640"/>
        <w:rPr>
          <w:rFonts w:hint="eastAsia" w:ascii="仿宋_GB2312" w:eastAsia="仿宋_GB2312"/>
          <w:sz w:val="32"/>
          <w:szCs w:val="32"/>
        </w:rPr>
      </w:pPr>
      <w:r>
        <w:rPr>
          <w:rFonts w:hint="eastAsia" w:ascii="仿宋_GB2312" w:eastAsia="仿宋_GB2312"/>
          <w:sz w:val="32"/>
          <w:szCs w:val="32"/>
        </w:rPr>
        <w:t>县委改革与发展研究中心2025年部门决算汇总公开单位构成包括：部门单位本级。</w:t>
      </w:r>
    </w:p>
    <w:p w14:paraId="2D9041B6">
      <w:pPr>
        <w:pStyle w:val="4"/>
        <w:spacing w:line="570" w:lineRule="exact"/>
        <w:ind w:firstLine="640"/>
        <w:rPr>
          <w:rFonts w:hint="eastAsia" w:ascii="仿宋_GB2312" w:eastAsia="仿宋_GB2312"/>
          <w:sz w:val="32"/>
          <w:szCs w:val="32"/>
        </w:rPr>
      </w:pPr>
      <w:r>
        <w:rPr>
          <w:rFonts w:hint="eastAsia" w:ascii="仿宋_GB2312" w:eastAsia="仿宋_GB2312"/>
          <w:sz w:val="32"/>
          <w:szCs w:val="32"/>
        </w:rPr>
        <w:t>（二）部门（单位）年度整体支出绩效目标，省级专项资金绩效目标、其他项目支出（除省级专项资金以外）绩效目标</w:t>
      </w:r>
    </w:p>
    <w:p w14:paraId="0F39F11B">
      <w:pPr>
        <w:pStyle w:val="4"/>
        <w:spacing w:line="570" w:lineRule="exact"/>
        <w:ind w:firstLine="640"/>
        <w:rPr>
          <w:rFonts w:hint="eastAsia" w:ascii="仿宋_GB2312" w:eastAsia="仿宋_GB2312"/>
          <w:sz w:val="32"/>
          <w:szCs w:val="32"/>
        </w:rPr>
      </w:pPr>
      <w:r>
        <w:rPr>
          <w:rFonts w:hint="eastAsia" w:ascii="仿宋_GB2312" w:eastAsia="仿宋_GB2312"/>
          <w:sz w:val="32"/>
          <w:szCs w:val="32"/>
        </w:rPr>
        <w:t>根据县委县下达的工作任务及本部门发展规划：</w:t>
      </w:r>
    </w:p>
    <w:p w14:paraId="7B87B818">
      <w:pPr>
        <w:pStyle w:val="4"/>
        <w:spacing w:line="570" w:lineRule="exact"/>
        <w:ind w:firstLine="640"/>
        <w:rPr>
          <w:rFonts w:hint="eastAsia" w:ascii="仿宋_GB2312" w:eastAsia="仿宋_GB2312"/>
          <w:sz w:val="32"/>
          <w:szCs w:val="32"/>
        </w:rPr>
      </w:pPr>
      <w:r>
        <w:rPr>
          <w:rFonts w:hint="eastAsia" w:ascii="仿宋_GB2312" w:eastAsia="仿宋_GB2312"/>
          <w:sz w:val="32"/>
          <w:szCs w:val="32"/>
        </w:rPr>
        <w:t>1. 负责起草县委主要领导重要讲话、报告</w:t>
      </w:r>
    </w:p>
    <w:p w14:paraId="63A88C40">
      <w:pPr>
        <w:pStyle w:val="4"/>
        <w:spacing w:line="570" w:lineRule="exact"/>
        <w:ind w:firstLine="640"/>
        <w:rPr>
          <w:rFonts w:hint="eastAsia" w:ascii="仿宋_GB2312" w:eastAsia="仿宋_GB2312"/>
          <w:sz w:val="32"/>
          <w:szCs w:val="32"/>
        </w:rPr>
      </w:pPr>
      <w:r>
        <w:rPr>
          <w:rFonts w:hint="eastAsia" w:ascii="仿宋_GB2312" w:eastAsia="仿宋_GB2312"/>
          <w:sz w:val="32"/>
          <w:szCs w:val="32"/>
        </w:rPr>
        <w:t>2. 负责起草县委全会报告</w:t>
      </w:r>
    </w:p>
    <w:p w14:paraId="58FEF782">
      <w:pPr>
        <w:pStyle w:val="4"/>
        <w:spacing w:line="570" w:lineRule="exact"/>
        <w:ind w:firstLine="640"/>
        <w:rPr>
          <w:rFonts w:hint="eastAsia" w:ascii="仿宋_GB2312" w:eastAsia="仿宋_GB2312"/>
          <w:sz w:val="32"/>
          <w:szCs w:val="32"/>
        </w:rPr>
      </w:pPr>
      <w:r>
        <w:rPr>
          <w:rFonts w:hint="eastAsia" w:ascii="仿宋_GB2312" w:eastAsia="仿宋_GB2312"/>
          <w:sz w:val="32"/>
          <w:szCs w:val="32"/>
        </w:rPr>
        <w:t>3. 围绕县委总体工作牵头组织开展重大课题研究</w:t>
      </w:r>
    </w:p>
    <w:p w14:paraId="489CDFB9">
      <w:pPr>
        <w:pStyle w:val="4"/>
        <w:spacing w:line="570" w:lineRule="exact"/>
        <w:ind w:firstLine="640"/>
        <w:rPr>
          <w:rFonts w:hint="eastAsia" w:ascii="仿宋_GB2312" w:eastAsia="仿宋_GB2312"/>
          <w:sz w:val="32"/>
          <w:szCs w:val="32"/>
        </w:rPr>
      </w:pPr>
      <w:r>
        <w:rPr>
          <w:rFonts w:hint="eastAsia" w:ascii="仿宋_GB2312" w:eastAsia="仿宋_GB2312"/>
          <w:sz w:val="32"/>
          <w:szCs w:val="32"/>
        </w:rPr>
        <w:t>4. 完成内部期刊编制、县委交办事项</w:t>
      </w:r>
    </w:p>
    <w:p w14:paraId="24322DD2">
      <w:pPr>
        <w:pStyle w:val="4"/>
        <w:spacing w:line="570" w:lineRule="exact"/>
        <w:ind w:firstLine="640"/>
        <w:rPr>
          <w:rFonts w:hint="eastAsia" w:ascii="仿宋_GB2312" w:eastAsia="仿宋_GB2312"/>
          <w:sz w:val="32"/>
          <w:szCs w:val="32"/>
        </w:rPr>
      </w:pPr>
      <w:r>
        <w:rPr>
          <w:rFonts w:hint="eastAsia" w:ascii="仿宋_GB2312" w:eastAsia="仿宋_GB2312"/>
          <w:sz w:val="32"/>
          <w:szCs w:val="32"/>
        </w:rPr>
        <w:t>5. 保障日常办公正常运转</w:t>
      </w:r>
    </w:p>
    <w:p w14:paraId="338348C0">
      <w:pPr>
        <w:pStyle w:val="4"/>
        <w:spacing w:line="570" w:lineRule="exact"/>
        <w:ind w:firstLine="640"/>
        <w:rPr>
          <w:rFonts w:ascii="Times New Roman" w:hAnsi="Times New Roman" w:eastAsia="黑体"/>
          <w:sz w:val="32"/>
          <w:szCs w:val="32"/>
        </w:rPr>
      </w:pPr>
      <w:r>
        <w:rPr>
          <w:rFonts w:ascii="Times New Roman" w:hAnsi="Times New Roman" w:eastAsia="黑体"/>
          <w:sz w:val="32"/>
          <w:szCs w:val="32"/>
        </w:rPr>
        <w:t>二、一般公共预算支出情况</w:t>
      </w:r>
    </w:p>
    <w:p w14:paraId="3BD13070">
      <w:pPr>
        <w:pStyle w:val="4"/>
        <w:spacing w:line="57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（一）基本支出情况</w:t>
      </w:r>
    </w:p>
    <w:p w14:paraId="08CD8035">
      <w:pPr>
        <w:pStyle w:val="4"/>
        <w:spacing w:line="57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2025年收入合计为</w:t>
      </w:r>
      <w:r>
        <w:rPr>
          <w:rFonts w:hint="eastAsia" w:ascii="Times New Roman" w:hAnsi="Times New Roman" w:eastAsia="仿宋_GB2312"/>
          <w:sz w:val="32"/>
          <w:szCs w:val="32"/>
          <w:lang w:val="en-US" w:eastAsia="zh-CN"/>
        </w:rPr>
        <w:t>80.94</w:t>
      </w:r>
      <w:r>
        <w:rPr>
          <w:rFonts w:hint="eastAsia" w:ascii="Times New Roman" w:hAnsi="Times New Roman" w:eastAsia="仿宋_GB2312"/>
          <w:sz w:val="32"/>
          <w:szCs w:val="32"/>
        </w:rPr>
        <w:t>万元，其中：财政拨款收入为</w:t>
      </w:r>
      <w:r>
        <w:rPr>
          <w:rFonts w:hint="eastAsia" w:ascii="Times New Roman" w:hAnsi="Times New Roman" w:eastAsia="仿宋_GB2312"/>
          <w:sz w:val="32"/>
          <w:szCs w:val="32"/>
          <w:lang w:val="en-US" w:eastAsia="zh-CN"/>
        </w:rPr>
        <w:t>80.9</w:t>
      </w:r>
      <w:r>
        <w:rPr>
          <w:rFonts w:hint="eastAsia" w:ascii="Times New Roman" w:hAnsi="Times New Roman" w:eastAsia="仿宋_GB2312"/>
          <w:sz w:val="32"/>
          <w:szCs w:val="32"/>
        </w:rPr>
        <w:t>万元，占总收入的100%；202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年支出合计为</w:t>
      </w:r>
      <w:r>
        <w:rPr>
          <w:rFonts w:hint="eastAsia" w:ascii="Times New Roman" w:hAnsi="Times New Roman" w:eastAsia="仿宋_GB2312"/>
          <w:sz w:val="32"/>
          <w:szCs w:val="32"/>
          <w:lang w:val="en-US" w:eastAsia="zh-CN"/>
        </w:rPr>
        <w:t>80.94</w:t>
      </w:r>
      <w:r>
        <w:rPr>
          <w:rFonts w:hint="eastAsia" w:ascii="Times New Roman" w:hAnsi="Times New Roman" w:eastAsia="仿宋_GB2312"/>
          <w:sz w:val="32"/>
          <w:szCs w:val="32"/>
        </w:rPr>
        <w:t>万元，其中：基本支出为</w:t>
      </w:r>
      <w:r>
        <w:rPr>
          <w:rFonts w:hint="eastAsia" w:ascii="Times New Roman" w:hAnsi="Times New Roman" w:eastAsia="仿宋_GB2312"/>
          <w:sz w:val="32"/>
          <w:szCs w:val="32"/>
          <w:lang w:val="en-US" w:eastAsia="zh-CN"/>
        </w:rPr>
        <w:t>80.9</w:t>
      </w:r>
      <w:r>
        <w:rPr>
          <w:rFonts w:hint="eastAsia" w:ascii="Times New Roman" w:hAnsi="Times New Roman" w:eastAsia="仿宋_GB2312"/>
          <w:sz w:val="32"/>
          <w:szCs w:val="32"/>
        </w:rPr>
        <w:t>万元，占总支出的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14:paraId="2A1EF38E">
      <w:pPr>
        <w:pStyle w:val="4"/>
        <w:spacing w:line="57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（二）项目支出情况</w:t>
      </w:r>
    </w:p>
    <w:p w14:paraId="68AA9448">
      <w:pPr>
        <w:pStyle w:val="4"/>
        <w:spacing w:line="57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2025年度项目支出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bookmarkStart w:id="0" w:name="_GoBack"/>
      <w:bookmarkEnd w:id="0"/>
      <w:r>
        <w:rPr>
          <w:rFonts w:hint="eastAsia" w:ascii="Times New Roman" w:hAnsi="Times New Roman" w:eastAsia="仿宋_GB2312"/>
          <w:sz w:val="32"/>
          <w:szCs w:val="32"/>
        </w:rPr>
        <w:t>。</w:t>
      </w:r>
    </w:p>
    <w:p w14:paraId="0A878880">
      <w:pPr>
        <w:pStyle w:val="4"/>
        <w:numPr>
          <w:ilvl w:val="0"/>
          <w:numId w:val="1"/>
        </w:numPr>
        <w:spacing w:line="570" w:lineRule="exact"/>
        <w:ind w:firstLine="640"/>
        <w:rPr>
          <w:rFonts w:hint="eastAsia" w:ascii="Times New Roman" w:hAnsi="Times New Roman" w:eastAsia="黑体"/>
          <w:sz w:val="32"/>
          <w:szCs w:val="32"/>
        </w:rPr>
      </w:pPr>
      <w:r>
        <w:rPr>
          <w:rFonts w:ascii="Times New Roman" w:hAnsi="Times New Roman" w:eastAsia="黑体"/>
          <w:sz w:val="32"/>
          <w:szCs w:val="32"/>
        </w:rPr>
        <w:t>政府性基金预算支出情况</w:t>
      </w:r>
      <w:r>
        <w:rPr>
          <w:rFonts w:hint="eastAsia" w:ascii="Times New Roman" w:hAnsi="Times New Roman" w:eastAsia="黑体"/>
          <w:sz w:val="32"/>
          <w:szCs w:val="32"/>
        </w:rPr>
        <w:t>。</w:t>
      </w:r>
    </w:p>
    <w:p w14:paraId="3DC74CC6">
      <w:pPr>
        <w:pStyle w:val="4"/>
        <w:numPr>
          <w:ilvl w:val="0"/>
          <w:numId w:val="0"/>
        </w:numPr>
        <w:spacing w:line="570" w:lineRule="exact"/>
        <w:ind w:firstLine="640" w:firstLineChars="200"/>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rPr>
        <w:t>2025年县委改革与发展研究中心没有政府性基金收入、支出。</w:t>
      </w:r>
    </w:p>
    <w:p w14:paraId="38D9F18F">
      <w:pPr>
        <w:spacing w:line="570" w:lineRule="exact"/>
        <w:ind w:firstLine="640" w:firstLineChars="200"/>
        <w:rPr>
          <w:rFonts w:hint="eastAsia" w:ascii="Times New Roman" w:hAnsi="Times New Roman" w:eastAsia="黑体"/>
          <w:sz w:val="32"/>
          <w:szCs w:val="32"/>
        </w:rPr>
      </w:pPr>
      <w:r>
        <w:rPr>
          <w:rFonts w:hint="eastAsia" w:ascii="Times New Roman" w:hAnsi="Times New Roman" w:eastAsia="黑体"/>
          <w:sz w:val="32"/>
          <w:szCs w:val="32"/>
        </w:rPr>
        <w:t>四、国有资本经营预算支出情况</w:t>
      </w:r>
    </w:p>
    <w:p w14:paraId="027AA22C">
      <w:pPr>
        <w:spacing w:line="570" w:lineRule="exact"/>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2025年县委改革与发展研究中心没有国有资本经营预算收入、支出。</w:t>
      </w:r>
    </w:p>
    <w:p w14:paraId="61C3B67E">
      <w:pPr>
        <w:spacing w:line="570" w:lineRule="exact"/>
        <w:ind w:firstLine="640" w:firstLineChars="200"/>
        <w:rPr>
          <w:rFonts w:hint="eastAsia" w:ascii="Times New Roman" w:hAnsi="Times New Roman" w:eastAsia="黑体"/>
          <w:sz w:val="32"/>
          <w:szCs w:val="32"/>
        </w:rPr>
      </w:pPr>
      <w:r>
        <w:rPr>
          <w:rFonts w:hint="eastAsia" w:ascii="Times New Roman" w:hAnsi="Times New Roman" w:eastAsia="黑体"/>
          <w:sz w:val="32"/>
          <w:szCs w:val="32"/>
        </w:rPr>
        <w:t>五、社会保险基金预算支出情况</w:t>
      </w:r>
    </w:p>
    <w:p w14:paraId="07A7CF28">
      <w:pPr>
        <w:spacing w:line="570" w:lineRule="exact"/>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2025年县委改革与发展研究中心没有社会保险基金预算支出。</w:t>
      </w:r>
    </w:p>
    <w:p w14:paraId="7F544C38">
      <w:pPr>
        <w:spacing w:line="570" w:lineRule="exact"/>
        <w:ind w:firstLine="640" w:firstLineChars="200"/>
        <w:rPr>
          <w:rFonts w:eastAsia="黑体"/>
          <w:sz w:val="32"/>
          <w:szCs w:val="32"/>
        </w:rPr>
      </w:pPr>
      <w:r>
        <w:rPr>
          <w:rFonts w:eastAsia="黑体"/>
          <w:sz w:val="32"/>
          <w:szCs w:val="32"/>
        </w:rPr>
        <w:t>六、部门整体支出绩效情况</w:t>
      </w:r>
    </w:p>
    <w:p w14:paraId="40CE295D">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2025年部门整体支出绩效工作开展情况如下：</w:t>
      </w:r>
    </w:p>
    <w:p w14:paraId="2F28990C">
      <w:pPr>
        <w:spacing w:line="560" w:lineRule="exact"/>
        <w:ind w:firstLine="643" w:firstLineChars="200"/>
        <w:rPr>
          <w:rFonts w:ascii="仿宋_GB2312" w:hAnsi="仿宋_GB2312" w:eastAsia="仿宋_GB2312" w:cs="仿宋_GB2312"/>
          <w:sz w:val="32"/>
          <w:szCs w:val="32"/>
        </w:rPr>
      </w:pPr>
      <w:r>
        <w:rPr>
          <w:rFonts w:hint="eastAsia" w:ascii="楷体" w:hAnsi="楷体" w:eastAsia="楷体" w:cs="楷体"/>
          <w:b/>
          <w:bCs/>
          <w:sz w:val="32"/>
          <w:szCs w:val="32"/>
        </w:rPr>
        <w:t>1.坚持创新理论武装，着力加强思想政治建设。</w:t>
      </w:r>
      <w:r>
        <w:rPr>
          <w:rFonts w:hint="eastAsia" w:ascii="仿宋_GB2312" w:hAnsi="仿宋_GB2312" w:eastAsia="仿宋_GB2312" w:cs="仿宋_GB2312"/>
          <w:sz w:val="32"/>
          <w:szCs w:val="32"/>
        </w:rPr>
        <w:t>我们始终把勤于学习、修炼内功作为第一要务，坚持在工作中学习，在学习中工作，努力提高思想政治素质和业务工作能力。坚持用习近平新时代中国特色社会主义思想武装头脑，深入学习贯彻党的二十届三中全会精神，自觉捍卫“两个确立”，坚决做到“两个维护”，在思想上政治上行动上始终与以习近平同志为核心的党中央保持高度一致。巩固拓展主题教育成果，坚持读原著学原文悟原理，严格执行“第一议题”制度，认真学习习近平总书记最新重要讲话及重要指示批示精神，推动单位周例会学习常态化，不断提高全体干部职工的理论水平、文化素质和业务能力。今年来，聚焦中央和省市决策部署和县委工作要求开展理论学习4</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次，真正做到以学促思，以思促干。</w:t>
      </w:r>
    </w:p>
    <w:p w14:paraId="29350503">
      <w:pPr>
        <w:adjustRightInd w:val="0"/>
        <w:snapToGrid w:val="0"/>
        <w:spacing w:line="560" w:lineRule="exact"/>
        <w:ind w:firstLine="643" w:firstLineChars="200"/>
        <w:rPr>
          <w:rFonts w:hint="eastAsia" w:ascii="仿宋_GB2312" w:eastAsia="仿宋_GB2312"/>
          <w:sz w:val="32"/>
          <w:szCs w:val="32"/>
        </w:rPr>
      </w:pPr>
      <w:r>
        <w:rPr>
          <w:rFonts w:hint="eastAsia" w:ascii="楷体" w:hAnsi="楷体" w:eastAsia="楷体" w:cs="楷体"/>
          <w:b/>
          <w:bCs/>
          <w:sz w:val="32"/>
          <w:szCs w:val="32"/>
        </w:rPr>
        <w:t>2.拓展决策研究优势，服务能力显著提升。</w:t>
      </w:r>
      <w:r>
        <w:rPr>
          <w:rFonts w:hint="eastAsia" w:ascii="仿宋_GB2312" w:hAnsi="仿宋_GB2312" w:eastAsia="仿宋_GB2312" w:cs="仿宋_GB2312"/>
          <w:sz w:val="32"/>
          <w:szCs w:val="32"/>
        </w:rPr>
        <w:t>我们始终牢记职责使命，潜心思考研究，时刻把握发展新形势，做到把中央精神、省委要求与道县实际紧密结合，力求文稿充分体现政策高度、领导意图和集体智慧。</w:t>
      </w:r>
      <w:r>
        <w:rPr>
          <w:rFonts w:hint="eastAsia" w:ascii="仿宋_GB2312" w:eastAsia="仿宋_GB2312"/>
          <w:b/>
          <w:bCs/>
          <w:sz w:val="32"/>
          <w:szCs w:val="32"/>
        </w:rPr>
        <w:t>一是撰写上凸显“精”。</w:t>
      </w:r>
      <w:r>
        <w:rPr>
          <w:rFonts w:hint="eastAsia" w:ascii="仿宋_GB2312" w:hAnsi="仿宋_GB2312" w:eastAsia="仿宋_GB2312" w:cs="仿宋_GB2312"/>
          <w:sz w:val="32"/>
          <w:szCs w:val="32"/>
        </w:rPr>
        <w:t>把文稿服务作为决策参谋的重要抓手，以起草高质量文稿为载体，积极主动为县委决策和工作部署服务。在工作中，中心班子成员以身作则经常带领文稿室、改革发展研究室、信息服务室人员加班加点，牺牲大量的节假日和休息时间，全力以赴完成各类材料起草工作，切实做到语言精炼、结构合理、务实管用，得到了领导的肯定和认可。今年来，</w:t>
      </w:r>
      <w:r>
        <w:rPr>
          <w:rFonts w:hint="eastAsia" w:ascii="仿宋_GB2312" w:eastAsia="仿宋_GB2312"/>
          <w:sz w:val="32"/>
          <w:szCs w:val="32"/>
        </w:rPr>
        <w:t>先后高质量起草完成县委经济工作会议、县委农村工作会议、县十三届纪委四次全会、县“两会”、县委十三届七次全会、八次全会等重要会议领导讲话材料，以及情况报告、工作方案、典型推介</w:t>
      </w:r>
      <w:r>
        <w:rPr>
          <w:rFonts w:hint="eastAsia" w:ascii="仿宋_GB2312" w:hAnsi="仿宋_GB2312" w:eastAsia="仿宋_GB2312" w:cs="仿宋_GB2312"/>
          <w:sz w:val="32"/>
          <w:szCs w:val="32"/>
        </w:rPr>
        <w:t>等材料</w:t>
      </w:r>
      <w:r>
        <w:rPr>
          <w:rFonts w:hint="eastAsia" w:ascii="仿宋_GB2312" w:hAnsi="仿宋_GB2312" w:eastAsia="仿宋_GB2312" w:cs="仿宋_GB2312"/>
          <w:sz w:val="32"/>
          <w:szCs w:val="32"/>
          <w:lang w:val="en-US" w:eastAsia="zh-CN"/>
        </w:rPr>
        <w:t>890</w:t>
      </w:r>
      <w:r>
        <w:rPr>
          <w:rFonts w:hint="eastAsia" w:ascii="仿宋_GB2312" w:hAnsi="仿宋_GB2312" w:eastAsia="仿宋_GB2312" w:cs="仿宋_GB2312"/>
          <w:sz w:val="32"/>
          <w:szCs w:val="32"/>
        </w:rPr>
        <w:t>余篇，全年组织起草文稿材料3</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万字</w:t>
      </w:r>
      <w:r>
        <w:rPr>
          <w:rFonts w:hint="eastAsia" w:ascii="仿宋_GB2312" w:eastAsia="仿宋_GB2312"/>
          <w:sz w:val="32"/>
          <w:szCs w:val="32"/>
        </w:rPr>
        <w:t>以上。</w:t>
      </w:r>
      <w:r>
        <w:rPr>
          <w:rFonts w:hint="eastAsia" w:ascii="仿宋_GB2312" w:eastAsia="仿宋_GB2312"/>
          <w:b/>
          <w:bCs/>
          <w:sz w:val="32"/>
          <w:szCs w:val="32"/>
        </w:rPr>
        <w:t>二是调研上力求“深”。</w:t>
      </w:r>
      <w:r>
        <w:rPr>
          <w:rFonts w:hint="eastAsia" w:ascii="仿宋_GB2312" w:hAnsi="仿宋_GB2312" w:eastAsia="仿宋_GB2312" w:cs="仿宋_GB2312"/>
          <w:sz w:val="32"/>
          <w:szCs w:val="32"/>
        </w:rPr>
        <w:t>坚持把调查研究的过程当作是辅助决策、服务创新、理论探索的过程，积极组织开展调查研究活动。今年来，围绕党的建设、项目建设、乡村振兴、县域高质量发展、民生工程、全面深化改革等方面，认真开展了调研，形成了一批高质量的调研报告和汇报材料，为县委和县委主要领导科学决策提供了参考依据。特别是完成了信访维稳、社会治理、“一果一蔬”产业发展、进一步全面深化改革、赴浙江学习考察“千万工程”经验等重大课题的深度调研，形成了一批有分量有质量的调研报告，得到县委和县委主要领导的充分肯定。</w:t>
      </w:r>
    </w:p>
    <w:p w14:paraId="4EACFCEF">
      <w:pPr>
        <w:adjustRightInd w:val="0"/>
        <w:snapToGrid w:val="0"/>
        <w:spacing w:line="560" w:lineRule="exact"/>
        <w:ind w:firstLine="643" w:firstLineChars="200"/>
        <w:rPr>
          <w:rFonts w:hint="eastAsia" w:ascii="仿宋_GB2312" w:eastAsia="仿宋_GB2312"/>
          <w:sz w:val="32"/>
          <w:szCs w:val="32"/>
        </w:rPr>
      </w:pPr>
      <w:r>
        <w:rPr>
          <w:rFonts w:hint="eastAsia" w:ascii="楷体" w:hAnsi="楷体" w:eastAsia="楷体" w:cs="楷体"/>
          <w:b/>
          <w:bCs/>
          <w:sz w:val="32"/>
          <w:szCs w:val="32"/>
        </w:rPr>
        <w:t>3.全面加强作风建设，实干导向更加鲜明。</w:t>
      </w:r>
      <w:r>
        <w:rPr>
          <w:rFonts w:hint="eastAsia" w:ascii="仿宋_GB2312" w:eastAsia="仿宋_GB2312"/>
          <w:b/>
          <w:bCs/>
          <w:sz w:val="32"/>
          <w:szCs w:val="32"/>
        </w:rPr>
        <w:t>一是扎实开展好党纪学习教育</w:t>
      </w:r>
      <w:r>
        <w:rPr>
          <w:rFonts w:hint="eastAsia" w:ascii="仿宋_GB2312" w:eastAsia="仿宋_GB2312"/>
          <w:sz w:val="32"/>
          <w:szCs w:val="32"/>
        </w:rPr>
        <w:t>。按照县委党纪学习教育工作专班的工作要求，结合“一月一课一片一实践”主题党日活动，开展了逐章逐条学习《条例》、党纪学习教育专题研讨发言、中心班子成员上党课等工作，确保《条例》在改发中心每个党员干部入脑入心。</w:t>
      </w:r>
      <w:r>
        <w:rPr>
          <w:rFonts w:hint="eastAsia" w:ascii="仿宋_GB2312" w:eastAsia="仿宋_GB2312"/>
          <w:b/>
          <w:bCs/>
          <w:sz w:val="32"/>
          <w:szCs w:val="32"/>
        </w:rPr>
        <w:t>二是全面加强党风廉政建设。</w:t>
      </w:r>
      <w:r>
        <w:rPr>
          <w:rStyle w:val="5"/>
          <w:rFonts w:hint="eastAsia" w:ascii="仿宋_GB2312" w:eastAsia="仿宋_GB2312"/>
          <w:color w:val="000000"/>
          <w:spacing w:val="-2"/>
          <w:kern w:val="0"/>
          <w:sz w:val="32"/>
          <w:szCs w:val="32"/>
        </w:rPr>
        <w:t>深入学习贯彻落实习近平总书记关于全面从严治党的重要论述和指示批示精神，</w:t>
      </w:r>
      <w:r>
        <w:rPr>
          <w:rFonts w:hint="eastAsia" w:ascii="仿宋_GB2312" w:hAnsi="仿宋_GB2312" w:eastAsia="仿宋_GB2312" w:cs="仿宋_GB2312"/>
          <w:kern w:val="0"/>
          <w:sz w:val="32"/>
          <w:szCs w:val="32"/>
          <w:shd w:val="clear" w:color="auto" w:fill="FFFFFF"/>
        </w:rPr>
        <w:t>全面落实“一岗双责”“三重一大”等制度，</w:t>
      </w:r>
      <w:r>
        <w:rPr>
          <w:rFonts w:hint="eastAsia" w:ascii="仿宋_GB2312" w:eastAsia="仿宋_GB2312"/>
          <w:sz w:val="32"/>
          <w:szCs w:val="32"/>
        </w:rPr>
        <w:t>严格落实县委“两规范一规定”，扎实开展“清风”专项行动和以案促改警示教育，</w:t>
      </w:r>
      <w:r>
        <w:rPr>
          <w:rFonts w:hint="eastAsia" w:ascii="仿宋_GB2312" w:hAnsi="仿宋_GB2312" w:eastAsia="仿宋_GB2312" w:cs="仿宋_GB2312"/>
          <w:kern w:val="0"/>
          <w:sz w:val="32"/>
          <w:szCs w:val="32"/>
          <w:shd w:val="clear" w:color="auto" w:fill="FFFFFF"/>
        </w:rPr>
        <w:t>加强党风廉政文化学习，进一步</w:t>
      </w:r>
      <w:r>
        <w:rPr>
          <w:rFonts w:hint="eastAsia" w:ascii="仿宋_GB2312" w:hAnsi="仿宋_GB2312" w:eastAsia="仿宋_GB2312" w:cs="仿宋_GB2312"/>
          <w:sz w:val="32"/>
          <w:szCs w:val="32"/>
        </w:rPr>
        <w:t>强化中心</w:t>
      </w:r>
      <w:r>
        <w:rPr>
          <w:rFonts w:hint="eastAsia" w:ascii="仿宋_GB2312" w:hAnsi="仿宋_GB2312" w:eastAsia="仿宋_GB2312" w:cs="仿宋_GB2312"/>
          <w:kern w:val="0"/>
          <w:sz w:val="32"/>
          <w:szCs w:val="32"/>
          <w:shd w:val="clear" w:color="auto" w:fill="FFFFFF"/>
        </w:rPr>
        <w:t>党风廉政建设，</w:t>
      </w:r>
      <w:r>
        <w:rPr>
          <w:rFonts w:hint="eastAsia" w:ascii="仿宋_GB2312" w:eastAsia="仿宋_GB2312"/>
          <w:sz w:val="32"/>
          <w:szCs w:val="32"/>
        </w:rPr>
        <w:t>有效促进改发中心干部作风更严实。</w:t>
      </w:r>
      <w:r>
        <w:rPr>
          <w:rFonts w:hint="eastAsia" w:ascii="仿宋_GB2312" w:eastAsia="仿宋_GB2312"/>
          <w:b/>
          <w:bCs/>
          <w:sz w:val="32"/>
          <w:szCs w:val="32"/>
        </w:rPr>
        <w:t>三是强化意识形态工作。</w:t>
      </w:r>
      <w:r>
        <w:rPr>
          <w:rFonts w:hint="eastAsia" w:ascii="仿宋_GB2312" w:hAnsi="仿宋_GB2312" w:eastAsia="仿宋_GB2312" w:cs="仿宋_GB2312"/>
          <w:sz w:val="32"/>
          <w:szCs w:val="32"/>
        </w:rPr>
        <w:t>扎实落实意识形态工作责任制，</w:t>
      </w:r>
      <w:r>
        <w:rPr>
          <w:rFonts w:hint="eastAsia" w:ascii="仿宋_GB2312" w:hAnsi="仿宋_GB2312" w:eastAsia="仿宋_GB2312" w:cs="仿宋_GB2312"/>
          <w:color w:val="000000"/>
          <w:sz w:val="32"/>
          <w:szCs w:val="32"/>
          <w:shd w:val="clear" w:color="auto" w:fill="FFFFFF"/>
        </w:rPr>
        <w:t>强化意识形态学习与研究，经常性开展意识形态专题学习，学习传达习近平总书记关于意识形态的重要论述和中央、省市、县委关于意识形态工作的部署要求，进一步强化意</w:t>
      </w:r>
      <w:r>
        <w:rPr>
          <w:rFonts w:ascii="仿宋_GB2312" w:hAnsi="Calibri" w:eastAsia="仿宋_GB2312" w:cs="仿宋_GB2312"/>
          <w:color w:val="000000"/>
          <w:sz w:val="32"/>
          <w:szCs w:val="32"/>
          <w:shd w:val="clear" w:color="auto" w:fill="FFFFFF"/>
        </w:rPr>
        <w:t>识形态理论知识。</w:t>
      </w:r>
      <w:r>
        <w:rPr>
          <w:rFonts w:hint="eastAsia" w:ascii="仿宋_GB2312" w:hAnsi="Calibri" w:eastAsia="仿宋_GB2312" w:cs="仿宋_GB2312"/>
          <w:color w:val="000000"/>
          <w:sz w:val="32"/>
          <w:szCs w:val="32"/>
          <w:shd w:val="clear" w:color="auto" w:fill="FFFFFF"/>
        </w:rPr>
        <w:t>坚持弘扬正能量，</w:t>
      </w:r>
      <w:r>
        <w:rPr>
          <w:rFonts w:hint="eastAsia" w:ascii="仿宋_GB2312" w:eastAsia="仿宋_GB2312"/>
          <w:sz w:val="32"/>
          <w:szCs w:val="32"/>
        </w:rPr>
        <w:t>在起草材料的过程中，注重总结提炼道县经验做法，讲好道县发展故事。今年来，以领导署名文章或以县委、县政府名义起草发表的《学思践悟 知行合一 加快推动道县高质量发展》《锚定高质量发展 奋力谱写建设现代化道县新篇章》《突出“四建四引” 走实产改道县路径》《争当深化改革排头兵 打造开放发展新高地》《牢记嘱托 感恩奋进 坚定不移走好高质量发展之路》等经验典型、理</w:t>
      </w:r>
      <w:r>
        <w:rPr>
          <w:rFonts w:hint="eastAsia" w:ascii="仿宋_GB2312" w:hAnsi="仿宋_GB2312" w:eastAsia="仿宋_GB2312" w:cs="仿宋_GB2312"/>
          <w:sz w:val="32"/>
          <w:szCs w:val="32"/>
        </w:rPr>
        <w:t>论文章</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余篇，先</w:t>
      </w:r>
      <w:r>
        <w:rPr>
          <w:rFonts w:hint="eastAsia" w:ascii="仿宋_GB2312" w:eastAsia="仿宋_GB2312"/>
          <w:sz w:val="32"/>
          <w:szCs w:val="32"/>
        </w:rPr>
        <w:t>后在《调查与研究》《湖南工作》《新湘评论》《湖南日报》《城市经济论坛》《永州通讯》《永州通讯》等省市核心期刊，以及红网、学习强国等媒体刊发，</w:t>
      </w:r>
      <w:r>
        <w:rPr>
          <w:rFonts w:hint="eastAsia" w:ascii="仿宋_GB2312" w:eastAsia="仿宋_GB2312"/>
          <w:spacing w:val="-17"/>
          <w:sz w:val="32"/>
          <w:szCs w:val="32"/>
        </w:rPr>
        <w:t>有力</w:t>
      </w:r>
      <w:r>
        <w:rPr>
          <w:rFonts w:hint="eastAsia" w:ascii="仿宋_GB2312" w:eastAsia="仿宋_GB2312"/>
          <w:sz w:val="32"/>
          <w:szCs w:val="32"/>
        </w:rPr>
        <w:t>地推介了道县发展经验。</w:t>
      </w:r>
    </w:p>
    <w:p w14:paraId="498C4DC4">
      <w:pPr>
        <w:spacing w:line="560" w:lineRule="exact"/>
        <w:ind w:firstLine="643" w:firstLineChars="200"/>
        <w:rPr>
          <w:rFonts w:eastAsia="仿宋_GB2312"/>
          <w:color w:val="000000"/>
          <w:sz w:val="32"/>
          <w:szCs w:val="32"/>
        </w:rPr>
      </w:pPr>
      <w:r>
        <w:rPr>
          <w:rFonts w:hint="eastAsia" w:ascii="楷体" w:hAnsi="楷体" w:eastAsia="楷体" w:cs="楷体"/>
          <w:b/>
          <w:bCs/>
          <w:sz w:val="32"/>
          <w:szCs w:val="32"/>
        </w:rPr>
        <w:t>4.围绕中心工作实干，践行宗旨为民造福。</w:t>
      </w:r>
      <w:r>
        <w:rPr>
          <w:rFonts w:hint="eastAsia" w:ascii="仿宋_GB2312" w:hAnsi="仿宋_GB2312" w:eastAsia="仿宋_GB2312" w:cs="仿宋_GB2312"/>
          <w:sz w:val="32"/>
          <w:szCs w:val="32"/>
        </w:rPr>
        <w:t>强化统筹兼顾，紧紧围绕县委政府中心工作抓实抓细抓落地。</w:t>
      </w:r>
      <w:r>
        <w:rPr>
          <w:rFonts w:hint="eastAsia" w:ascii="仿宋_GB2312" w:hAnsi="仿宋_GB2312" w:eastAsia="仿宋_GB2312" w:cs="仿宋_GB2312"/>
          <w:b/>
          <w:bCs/>
          <w:sz w:val="32"/>
          <w:szCs w:val="32"/>
        </w:rPr>
        <w:t>一是助力乡村振兴。</w:t>
      </w:r>
      <w:r>
        <w:rPr>
          <w:rFonts w:hint="eastAsia" w:ascii="仿宋_GB2312" w:hAnsi="仿宋_GB2312" w:eastAsia="仿宋_GB2312" w:cs="仿宋_GB2312"/>
          <w:sz w:val="32"/>
          <w:szCs w:val="32"/>
        </w:rPr>
        <w:t>改发中心按照县委工作要求，结对帮扶县委办驻村联系点清塘镇营乐源村。</w:t>
      </w:r>
      <w:r>
        <w:rPr>
          <w:rFonts w:hint="eastAsia" w:ascii="仿宋_GB2312" w:hAnsi="仿宋_GB2312" w:eastAsia="仿宋_GB2312" w:cs="仿宋_GB2312"/>
          <w:b/>
          <w:bCs/>
          <w:sz w:val="32"/>
          <w:szCs w:val="32"/>
        </w:rPr>
        <w:t>二是服务文明创建。</w:t>
      </w:r>
      <w:r>
        <w:rPr>
          <w:rFonts w:hint="eastAsia" w:ascii="仿宋_GB2312" w:hAnsi="仿宋_GB2312" w:eastAsia="仿宋_GB2312" w:cs="仿宋_GB2312"/>
          <w:sz w:val="32"/>
          <w:szCs w:val="32"/>
        </w:rPr>
        <w:t>根据县委办统筹安排，在濂溪街道良田社区开展</w:t>
      </w:r>
      <w:r>
        <w:rPr>
          <w:rFonts w:ascii="仿宋_GB2312" w:hAnsi="仿宋_GB2312" w:eastAsia="仿宋_GB2312" w:cs="仿宋_GB2312"/>
          <w:sz w:val="32"/>
          <w:szCs w:val="32"/>
        </w:rPr>
        <w:t>文明劝导活动，着力纠正各类交通违法和占道经营等不良行为，引导广大市民自觉遵章守法，安全出行。</w:t>
      </w:r>
      <w:r>
        <w:rPr>
          <w:rFonts w:hint="eastAsia" w:ascii="仿宋_GB2312" w:hAnsi="仿宋_GB2312" w:eastAsia="仿宋_GB2312" w:cs="仿宋_GB2312"/>
          <w:sz w:val="32"/>
          <w:szCs w:val="32"/>
        </w:rPr>
        <w:t>同时，做好责任区的</w:t>
      </w:r>
      <w:r>
        <w:rPr>
          <w:rFonts w:ascii="仿宋_GB2312" w:hAnsi="仿宋_GB2312" w:eastAsia="仿宋_GB2312" w:cs="仿宋_GB2312"/>
          <w:sz w:val="32"/>
          <w:szCs w:val="32"/>
        </w:rPr>
        <w:t>环境卫生</w:t>
      </w:r>
      <w:r>
        <w:rPr>
          <w:rFonts w:hint="eastAsia" w:ascii="仿宋_GB2312" w:hAnsi="仿宋_GB2312" w:eastAsia="仿宋_GB2312" w:cs="仿宋_GB2312"/>
          <w:sz w:val="32"/>
          <w:szCs w:val="32"/>
        </w:rPr>
        <w:t>清洁行动</w:t>
      </w:r>
      <w:r>
        <w:rPr>
          <w:rFonts w:ascii="仿宋_GB2312" w:hAnsi="仿宋_GB2312" w:eastAsia="仿宋_GB2312" w:cs="仿宋_GB2312"/>
          <w:sz w:val="32"/>
          <w:szCs w:val="32"/>
        </w:rPr>
        <w:t>，确保责任区路面干净、无</w:t>
      </w:r>
      <w:r>
        <w:rPr>
          <w:rFonts w:hint="eastAsia" w:ascii="仿宋_GB2312" w:hAnsi="仿宋_GB2312" w:eastAsia="仿宋_GB2312" w:cs="仿宋_GB2312"/>
          <w:sz w:val="32"/>
          <w:szCs w:val="32"/>
        </w:rPr>
        <w:t>白色垃圾。</w:t>
      </w:r>
      <w:r>
        <w:rPr>
          <w:rFonts w:hint="eastAsia" w:ascii="仿宋_GB2312" w:hAnsi="仿宋_GB2312" w:eastAsia="仿宋_GB2312" w:cs="仿宋_GB2312"/>
          <w:b/>
          <w:bCs/>
          <w:sz w:val="32"/>
          <w:szCs w:val="32"/>
        </w:rPr>
        <w:t>三是</w:t>
      </w:r>
      <w:r>
        <w:rPr>
          <w:rFonts w:hint="eastAsia" w:ascii="仿宋_GB2312" w:hAnsi="仿宋_GB2312" w:eastAsia="仿宋_GB2312" w:cs="仿宋_GB2312"/>
          <w:b/>
          <w:bCs/>
          <w:sz w:val="32"/>
          <w:szCs w:val="32"/>
          <w:lang w:val="en-US" w:eastAsia="zh-CN"/>
        </w:rPr>
        <w:t>助力乡村振兴</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lang w:eastAsia="zh-CN"/>
        </w:rPr>
        <w:t>按照县委工作要求，结对帮扶清塘镇营乐源村。同时，我单位也派驻</w:t>
      </w:r>
      <w:r>
        <w:rPr>
          <w:rFonts w:hint="eastAsia" w:ascii="仿宋_GB2312" w:hAnsi="仿宋_GB2312" w:eastAsia="仿宋_GB2312" w:cs="仿宋_GB2312"/>
          <w:sz w:val="32"/>
          <w:szCs w:val="32"/>
          <w:lang w:val="en-US" w:eastAsia="zh-CN"/>
        </w:rPr>
        <w:t>1人到营江街道濂南村驻村</w:t>
      </w:r>
      <w:r>
        <w:rPr>
          <w:rFonts w:hint="eastAsia" w:ascii="仿宋_GB2312" w:hAnsi="仿宋_GB2312" w:eastAsia="仿宋_GB2312" w:cs="仿宋_GB2312"/>
          <w:sz w:val="32"/>
          <w:szCs w:val="32"/>
          <w:lang w:eastAsia="zh-CN"/>
        </w:rPr>
        <w:t>。作为驻村帮扶后盾单位，拨付</w:t>
      </w:r>
      <w:r>
        <w:rPr>
          <w:rFonts w:hint="eastAsia" w:ascii="仿宋_GB2312" w:hAnsi="仿宋_GB2312" w:eastAsia="仿宋_GB2312" w:cs="仿宋_GB2312"/>
          <w:sz w:val="32"/>
          <w:szCs w:val="32"/>
          <w:lang w:val="en-US" w:eastAsia="zh-CN"/>
        </w:rPr>
        <w:t>1万元工作经费予以帮扶。</w:t>
      </w:r>
      <w:r>
        <w:rPr>
          <w:rFonts w:hint="eastAsia" w:ascii="仿宋_GB2312" w:hAnsi="仿宋_GB2312" w:eastAsia="仿宋_GB2312" w:cs="仿宋_GB2312"/>
          <w:b/>
          <w:bCs/>
          <w:sz w:val="32"/>
          <w:szCs w:val="32"/>
        </w:rPr>
        <w:t>四是严格做好安全生产工作。</w:t>
      </w:r>
      <w:r>
        <w:rPr>
          <w:rFonts w:hint="eastAsia" w:ascii="仿宋_GB2312" w:hAnsi="仿宋_GB2312" w:eastAsia="仿宋_GB2312" w:cs="仿宋_GB2312"/>
          <w:sz w:val="32"/>
          <w:szCs w:val="32"/>
        </w:rPr>
        <w:t>深入学习贯彻习近平总书记关于安全生产和应急管理工作的重要论述，提高中心职工安全生产意识；全面排查办公室及周围的安全隐患和安全事故，及时上报和处理相关问题;积极参与全县安全生产和应急管理工作改进和推动，提出合理化建议，提高安全水平。</w:t>
      </w:r>
    </w:p>
    <w:p w14:paraId="103083DD">
      <w:pPr>
        <w:pStyle w:val="4"/>
        <w:spacing w:line="570" w:lineRule="exact"/>
        <w:ind w:firstLine="640"/>
        <w:rPr>
          <w:rFonts w:ascii="Times New Roman" w:hAnsi="Times New Roman" w:eastAsia="黑体"/>
          <w:sz w:val="32"/>
          <w:szCs w:val="32"/>
        </w:rPr>
      </w:pPr>
      <w:r>
        <w:rPr>
          <w:rFonts w:ascii="Times New Roman" w:hAnsi="Times New Roman" w:eastAsia="黑体"/>
          <w:sz w:val="32"/>
          <w:szCs w:val="32"/>
        </w:rPr>
        <w:t>七、存在的问题及原因分析</w:t>
      </w:r>
    </w:p>
    <w:p w14:paraId="35789BC9">
      <w:pPr>
        <w:adjustRightInd w:val="0"/>
        <w:snapToGrid w:val="0"/>
        <w:spacing w:line="560" w:lineRule="exact"/>
        <w:ind w:firstLine="656" w:firstLineChars="200"/>
        <w:rPr>
          <w:rFonts w:hint="eastAsia" w:ascii="仿宋" w:hAnsi="仿宋" w:eastAsia="仿宋" w:cs="仿宋"/>
          <w:spacing w:val="4"/>
          <w:sz w:val="32"/>
          <w:szCs w:val="32"/>
        </w:rPr>
      </w:pPr>
      <w:r>
        <w:rPr>
          <w:rFonts w:hint="eastAsia" w:ascii="仿宋" w:hAnsi="仿宋" w:eastAsia="仿宋" w:cs="仿宋"/>
          <w:spacing w:val="4"/>
          <w:sz w:val="32"/>
          <w:szCs w:val="32"/>
        </w:rPr>
        <w:t>存在的问题：预算编制具体项目的细化程度和精准度不够高，合理性有待进一步加强。资金使用效益有待进一步提高，绩效目标设立不够明确、细化和量化。</w:t>
      </w:r>
    </w:p>
    <w:p w14:paraId="287BC738">
      <w:pPr>
        <w:spacing w:line="570" w:lineRule="exact"/>
        <w:ind w:firstLine="656" w:firstLineChars="200"/>
        <w:rPr>
          <w:rFonts w:eastAsia="仿宋_GB2312"/>
          <w:sz w:val="32"/>
          <w:szCs w:val="32"/>
        </w:rPr>
      </w:pPr>
      <w:r>
        <w:rPr>
          <w:rFonts w:hint="eastAsia" w:ascii="仿宋" w:hAnsi="仿宋" w:eastAsia="仿宋" w:cs="仿宋"/>
          <w:spacing w:val="4"/>
          <w:sz w:val="32"/>
          <w:szCs w:val="32"/>
        </w:rPr>
        <w:t>原因分析：专业知识掌握不够，加强理论学习。</w:t>
      </w:r>
    </w:p>
    <w:p w14:paraId="6991747D">
      <w:pPr>
        <w:numPr>
          <w:ilvl w:val="0"/>
          <w:numId w:val="2"/>
        </w:numPr>
        <w:spacing w:line="570" w:lineRule="exact"/>
        <w:ind w:firstLine="640" w:firstLineChars="200"/>
        <w:rPr>
          <w:rFonts w:eastAsia="黑体"/>
          <w:sz w:val="32"/>
          <w:szCs w:val="32"/>
        </w:rPr>
      </w:pPr>
      <w:r>
        <w:rPr>
          <w:rFonts w:eastAsia="黑体"/>
          <w:sz w:val="32"/>
          <w:szCs w:val="32"/>
        </w:rPr>
        <w:t>下一步改进措施</w:t>
      </w:r>
    </w:p>
    <w:p w14:paraId="4E780B0D">
      <w:pPr>
        <w:spacing w:line="56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w:t>
      </w:r>
      <w:r>
        <w:rPr>
          <w:rFonts w:hint="eastAsia" w:ascii="仿宋_GB2312" w:hAnsi="仿宋_GB2312" w:eastAsia="仿宋_GB2312" w:cs="仿宋_GB2312"/>
          <w:sz w:val="32"/>
          <w:szCs w:val="32"/>
        </w:rPr>
        <w:t>一）规范账务处理，提高财务信息质量。</w:t>
      </w:r>
    </w:p>
    <w:p w14:paraId="62903D3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严格按照《会计法》、《新政府会计制度》、《行政单位财务规则》等规定执行财务核算，并结合实际情况，完整、准确地披露相关信息，做到决算与预算相衔接。</w:t>
      </w:r>
    </w:p>
    <w:p w14:paraId="736B5C0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（二）落实管理制度，进一步加强资产管理。</w:t>
      </w:r>
    </w:p>
    <w:p w14:paraId="2C74333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加强往来款项的管理，按月对帐，固定资产按时盘点，加强资金使用效率和保证资产安全。</w:t>
      </w:r>
    </w:p>
    <w:p w14:paraId="58B236DE">
      <w:pPr>
        <w:spacing w:line="560" w:lineRule="exact"/>
        <w:ind w:firstLine="640" w:firstLineChars="200"/>
        <w:rPr>
          <w:rFonts w:eastAsia="黑体"/>
          <w:sz w:val="32"/>
          <w:szCs w:val="32"/>
        </w:rPr>
      </w:pPr>
      <w:r>
        <w:rPr>
          <w:rFonts w:hint="eastAsia" w:ascii="仿宋_GB2312" w:hAnsi="仿宋_GB2312" w:eastAsia="仿宋_GB2312" w:cs="仿宋_GB2312"/>
          <w:sz w:val="32"/>
          <w:szCs w:val="32"/>
        </w:rPr>
        <w:t>（三）总结经验，改进管理措施，不断增强和落实绩效管理责任，健全完善管理机制等。</w:t>
      </w:r>
    </w:p>
    <w:p w14:paraId="0FB076B4">
      <w:pPr>
        <w:spacing w:line="570" w:lineRule="exact"/>
        <w:ind w:firstLine="640" w:firstLineChars="200"/>
        <w:rPr>
          <w:rFonts w:eastAsia="黑体"/>
          <w:sz w:val="32"/>
          <w:szCs w:val="32"/>
        </w:rPr>
      </w:pPr>
      <w:r>
        <w:rPr>
          <w:rFonts w:eastAsia="黑体"/>
          <w:sz w:val="32"/>
          <w:szCs w:val="32"/>
        </w:rPr>
        <w:t>九、部门整体支出绩效自评结果拟应用和公开情况</w:t>
      </w:r>
    </w:p>
    <w:p w14:paraId="2197B5BB">
      <w:pPr>
        <w:spacing w:line="560" w:lineRule="exact"/>
        <w:ind w:firstLine="640" w:firstLineChars="200"/>
        <w:rPr>
          <w:rFonts w:eastAsia="黑体"/>
          <w:sz w:val="32"/>
          <w:szCs w:val="32"/>
        </w:rPr>
      </w:pPr>
      <w:r>
        <w:rPr>
          <w:rFonts w:hint="eastAsia" w:ascii="仿宋_GB2312" w:hAnsi="仿宋_GB2312" w:eastAsia="仿宋_GB2312" w:cs="仿宋_GB2312"/>
          <w:sz w:val="32"/>
          <w:szCs w:val="32"/>
        </w:rPr>
        <w:t>高度重视绩效评价结果的应用工作，积极探索和建立一套与预算管理相结合、多渠道应用评价结果的有效机制，着力提高绩效意识和财政资金使用效益。同时，县委改革与发展研究中心部门整体支出绩效自评报告在道县人民政府门户网站上进行公开，广泛接受社会监督。</w:t>
      </w:r>
    </w:p>
    <w:p w14:paraId="6CFC1A7A">
      <w:pPr>
        <w:spacing w:line="570" w:lineRule="exact"/>
        <w:ind w:firstLine="640" w:firstLineChars="200"/>
        <w:rPr>
          <w:rFonts w:eastAsia="黑体"/>
          <w:sz w:val="32"/>
          <w:szCs w:val="32"/>
        </w:rPr>
      </w:pPr>
      <w:r>
        <w:rPr>
          <w:rFonts w:hint="eastAsia" w:eastAsia="黑体"/>
          <w:sz w:val="32"/>
          <w:szCs w:val="32"/>
        </w:rPr>
        <w:t>十、</w:t>
      </w:r>
      <w:r>
        <w:rPr>
          <w:rFonts w:eastAsia="黑体"/>
          <w:sz w:val="32"/>
          <w:szCs w:val="32"/>
        </w:rPr>
        <w:t>其他需要说明的情况</w:t>
      </w:r>
    </w:p>
    <w:p w14:paraId="7FE5938F">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无其他需要说明的情况。</w:t>
      </w:r>
    </w:p>
    <w:p w14:paraId="28B20E10">
      <w:pPr>
        <w:spacing w:line="560" w:lineRule="exact"/>
        <w:rPr>
          <w:rFonts w:hint="eastAsia" w:ascii="仿宋" w:hAnsi="仿宋" w:eastAsia="仿宋"/>
          <w:sz w:val="28"/>
          <w:szCs w:val="28"/>
        </w:rPr>
      </w:pPr>
    </w:p>
    <w:p w14:paraId="3B1A2EFE">
      <w:pPr>
        <w:spacing w:line="570" w:lineRule="exact"/>
        <w:ind w:firstLine="640" w:firstLineChars="200"/>
        <w:rPr>
          <w:rFonts w:eastAsia="黑体"/>
          <w:sz w:val="32"/>
          <w:szCs w:val="32"/>
        </w:rPr>
      </w:pPr>
    </w:p>
    <w:p w14:paraId="55198E0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43" w:usb2="00000009" w:usb3="00000000" w:csb0="400001FF" w:csb1="FFFF0000"/>
  </w:font>
  <w:font w:name="宋体">
    <w:altName w:val="方正书宋_GBK"/>
    <w:panose1 w:val="02010600030101010101"/>
    <w:charset w:val="88"/>
    <w:family w:val="script"/>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D2FDB4"/>
    <w:multiLevelType w:val="singleLevel"/>
    <w:tmpl w:val="9DD2FDB4"/>
    <w:lvl w:ilvl="0" w:tentative="0">
      <w:start w:val="8"/>
      <w:numFmt w:val="chineseCounting"/>
      <w:suff w:val="nothing"/>
      <w:lvlText w:val="%1、"/>
      <w:lvlJc w:val="left"/>
      <w:rPr>
        <w:rFonts w:hint="eastAsia"/>
      </w:rPr>
    </w:lvl>
  </w:abstractNum>
  <w:abstractNum w:abstractNumId="1">
    <w:nsid w:val="2DEA5708"/>
    <w:multiLevelType w:val="singleLevel"/>
    <w:tmpl w:val="2DEA5708"/>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3C5596"/>
    <w:rsid w:val="33776F37"/>
    <w:rsid w:val="35DE527F"/>
    <w:rsid w:val="43FFAC61"/>
    <w:rsid w:val="6CEE25D1"/>
    <w:rsid w:val="7BF23BC4"/>
    <w:rsid w:val="7DFF2DA7"/>
    <w:rsid w:val="F7398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99"/>
    <w:pPr>
      <w:ind w:firstLine="420" w:firstLineChars="200"/>
    </w:pPr>
    <w:rPr>
      <w:rFonts w:ascii="Calibri" w:hAnsi="Calibri"/>
      <w:kern w:val="0"/>
      <w:sz w:val="28"/>
      <w:szCs w:val="22"/>
    </w:rPr>
  </w:style>
  <w:style w:type="character" w:customStyle="1" w:styleId="5">
    <w:name w:val="16"/>
    <w:qFormat/>
    <w:uiPriority w:val="0"/>
    <w:rPr>
      <w:rFonts w:ascii="Times New Roman" w:hAnsi="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TotalTime>
  <ScaleCrop>false</ScaleCrop>
  <LinksUpToDate>false</LinksUpToDate>
  <CharactersWithSpaces>0</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2026-03-13T23:17:00Z</dcterms:created>
  <dc:creator>29448</dc:creator>
  <cp:lastModifiedBy>何承勇</cp:lastModifiedBy>
  <cp:lastPrinted>2026-06-23T15:07:00Z</cp:lastPrinted>
  <dcterms:modified xsi:type="dcterms:W3CDTF">2026-09-09T09:33:46Z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KSOTemplateDocerSaveRecord">
    <vt:lpwstr>eyJoZGlkIjoiNTJjYmFjYTI5NGJmMjhmMTk1NzYwNzRkMTBjNTQwZjUiLCJ1c2VySWQiOiI4NDM4OTQxODQifQ==</vt:lpwstr>
  </property>
  <property fmtid="{D5CDD505-2E9C-101B-9397-08002B2CF9AE}" pid="4" name="ICV">
    <vt:lpwstr>8651C2F25274F3F17AB7A06A9EDA6CC1_43</vt:lpwstr>
  </property>
</Properties>
</file>