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eastAsia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附件3</w:t>
      </w:r>
    </w:p>
    <w:p>
      <w:pPr>
        <w:spacing w:line="600" w:lineRule="exact"/>
        <w:rPr>
          <w:rFonts w:eastAsia="黑体"/>
          <w:sz w:val="32"/>
          <w:szCs w:val="32"/>
        </w:rPr>
      </w:pPr>
    </w:p>
    <w:p>
      <w:pPr>
        <w:jc w:val="center"/>
        <w:rPr>
          <w:rFonts w:hint="eastAsia" w:ascii="方正小标宋简体" w:eastAsia="方正小标宋简体"/>
          <w:sz w:val="48"/>
          <w:szCs w:val="48"/>
        </w:rPr>
      </w:pPr>
      <w:r>
        <w:rPr>
          <w:rFonts w:hint="eastAsia" w:ascii="方正小标宋简体" w:eastAsia="方正小标宋简体"/>
          <w:sz w:val="48"/>
          <w:szCs w:val="48"/>
        </w:rPr>
        <w:t>2025年度</w:t>
      </w:r>
      <w:r>
        <w:rPr>
          <w:rFonts w:hint="eastAsia" w:ascii="方正小标宋简体" w:eastAsia="方正小标宋简体"/>
          <w:sz w:val="48"/>
          <w:szCs w:val="48"/>
          <w:lang w:eastAsia="zh-CN"/>
        </w:rPr>
        <w:t>道县</w:t>
      </w:r>
      <w:r>
        <w:rPr>
          <w:rFonts w:hint="eastAsia" w:ascii="方正小标宋简体" w:eastAsia="方正小标宋简体"/>
          <w:sz w:val="48"/>
          <w:szCs w:val="48"/>
          <w:lang w:val="en-US" w:eastAsia="zh-CN"/>
        </w:rPr>
        <w:t>供销合作联社</w:t>
      </w:r>
      <w:r>
        <w:rPr>
          <w:rFonts w:hint="eastAsia" w:ascii="方正小标宋简体" w:eastAsia="方正小标宋简体"/>
          <w:sz w:val="48"/>
          <w:szCs w:val="48"/>
        </w:rPr>
        <w:t>整体支出</w:t>
      </w:r>
    </w:p>
    <w:p>
      <w:pPr>
        <w:jc w:val="center"/>
        <w:rPr>
          <w:rFonts w:hint="eastAsia" w:ascii="方正小标宋简体" w:eastAsia="方正小标宋简体"/>
          <w:sz w:val="48"/>
          <w:szCs w:val="48"/>
        </w:rPr>
      </w:pPr>
      <w:r>
        <w:rPr>
          <w:rFonts w:hint="eastAsia" w:ascii="方正小标宋简体" w:eastAsia="方正小标宋简体"/>
          <w:sz w:val="48"/>
          <w:szCs w:val="48"/>
        </w:rPr>
        <w:t>绩效自评报告</w:t>
      </w:r>
    </w:p>
    <w:p>
      <w:pPr>
        <w:jc w:val="center"/>
        <w:rPr>
          <w:rFonts w:eastAsia="方正小标宋_GBK"/>
          <w:b/>
          <w:sz w:val="52"/>
          <w:szCs w:val="52"/>
        </w:rPr>
      </w:pPr>
    </w:p>
    <w:p>
      <w:pPr>
        <w:jc w:val="center"/>
        <w:rPr>
          <w:rFonts w:eastAsia="楷体_GB2312"/>
          <w:b/>
          <w:sz w:val="32"/>
          <w:szCs w:val="32"/>
        </w:rPr>
      </w:pPr>
    </w:p>
    <w:p>
      <w:pPr>
        <w:rPr>
          <w:rFonts w:eastAsia="楷体_GB2312"/>
          <w:b/>
          <w:sz w:val="32"/>
          <w:szCs w:val="32"/>
        </w:rPr>
      </w:pPr>
    </w:p>
    <w:p>
      <w:pPr>
        <w:jc w:val="center"/>
        <w:rPr>
          <w:rFonts w:eastAsia="黑体"/>
          <w:sz w:val="32"/>
          <w:szCs w:val="32"/>
        </w:rPr>
      </w:pPr>
    </w:p>
    <w:p>
      <w:pPr>
        <w:jc w:val="center"/>
        <w:rPr>
          <w:rFonts w:eastAsia="黑体"/>
          <w:sz w:val="32"/>
          <w:szCs w:val="32"/>
        </w:rPr>
      </w:pPr>
    </w:p>
    <w:p>
      <w:pPr>
        <w:jc w:val="center"/>
        <w:rPr>
          <w:rFonts w:eastAsia="黑体"/>
          <w:sz w:val="32"/>
          <w:szCs w:val="32"/>
        </w:rPr>
      </w:pPr>
    </w:p>
    <w:p>
      <w:pPr>
        <w:jc w:val="center"/>
        <w:rPr>
          <w:rFonts w:eastAsia="黑体"/>
          <w:sz w:val="32"/>
          <w:szCs w:val="32"/>
        </w:rPr>
      </w:pPr>
    </w:p>
    <w:p>
      <w:pPr>
        <w:rPr>
          <w:rFonts w:eastAsia="黑体"/>
          <w:sz w:val="32"/>
          <w:szCs w:val="32"/>
        </w:rPr>
      </w:pPr>
    </w:p>
    <w:p>
      <w:pPr>
        <w:jc w:val="center"/>
        <w:rPr>
          <w:rFonts w:eastAsia="黑体"/>
          <w:sz w:val="32"/>
          <w:szCs w:val="32"/>
        </w:rPr>
      </w:pPr>
    </w:p>
    <w:p>
      <w:pPr>
        <w:jc w:val="center"/>
        <w:rPr>
          <w:rFonts w:eastAsia="黑体"/>
          <w:sz w:val="32"/>
          <w:szCs w:val="32"/>
        </w:rPr>
      </w:pPr>
    </w:p>
    <w:p>
      <w:pPr>
        <w:spacing w:line="570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eastAsia="仿宋_GB2312"/>
          <w:sz w:val="32"/>
          <w:szCs w:val="32"/>
        </w:rPr>
        <w:br w:type="page"/>
      </w:r>
      <w:r>
        <w:rPr>
          <w:rFonts w:hint="eastAsia" w:ascii="黑体" w:hAnsi="黑体" w:eastAsia="黑体" w:cs="黑体"/>
          <w:sz w:val="32"/>
          <w:szCs w:val="32"/>
        </w:rPr>
        <w:t>一、</w:t>
      </w:r>
      <w:r>
        <w:rPr>
          <w:rFonts w:eastAsia="黑体"/>
          <w:sz w:val="32"/>
          <w:szCs w:val="32"/>
        </w:rPr>
        <w:t>部门（单位）基本情况</w:t>
      </w:r>
    </w:p>
    <w:p>
      <w:pPr>
        <w:shd w:val="clear" w:color="auto" w:fill="FFFFFF"/>
        <w:spacing w:line="57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</w:pPr>
      <w:r>
        <w:rPr>
          <w:rFonts w:hint="eastAsia" w:ascii="仿宋_GB2312" w:eastAsia="仿宋_GB2312"/>
          <w:sz w:val="32"/>
          <w:szCs w:val="32"/>
        </w:rPr>
        <w:t>（一）</w:t>
      </w:r>
      <w:bookmarkStart w:id="0" w:name="AGENCY_NAME_TITLE3"/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道县供销合作社联合社</w:t>
      </w:r>
      <w:bookmarkEnd w:id="0"/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的主要职责是：</w:t>
      </w:r>
      <w:bookmarkStart w:id="1" w:name="FUNCRESP"/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根据道政办发（2002）17号文件《关于印发道县供销合作联社职能配置、内设机构人员编制规定的通知》的规定，我单位主要工作职责：贯彻执行党和政府有关农村经济的方针、政策、法规，研究制定农村合作经济组织的发展计划，指导农村合作经济组织规范发展，加快供销合作社系统的改革步伐，把供销合作社真正办成农村合作经济组织的主体；组织协调农业生产资料的供应和各项为农服务工作，按照县人民政府授权承担重要农业生产资料、农副产品的储备，适时调控市场；协调有关部门的关系，推动全县供销社组织农民进入市场，参与大流通、大市场，发展农业产业化经营，为农业、农村和农民提供综合服务，建立和完善本系统为农业生产资料和农村经济发展服务的体系，预测预报相关的市场信息；指导供销社系统的科技开发和推广应用工作，引进、推广农业产销所需的新品种、新设施、新技术，推进科教兴社战略。</w:t>
      </w:r>
      <w:bookmarkEnd w:id="1"/>
      <w:bookmarkStart w:id="2" w:name="ORG_SET"/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道县供销社内设办公室、人事股、财会股、合作指导股、综治办等五个职能股室，下设一个企业。事业编制32人。现有在职人数1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人。</w:t>
      </w:r>
      <w:bookmarkEnd w:id="2"/>
    </w:p>
    <w:p>
      <w:pPr>
        <w:spacing w:line="570" w:lineRule="exact"/>
        <w:ind w:firstLine="640" w:firstLineChars="200"/>
        <w:rPr>
          <w:rFonts w:hint="eastAsia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（二）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2025年我单位</w:t>
      </w:r>
      <w:r>
        <w:rPr>
          <w:rFonts w:hint="eastAsia" w:eastAsia="仿宋_GB2312"/>
          <w:color w:val="000000"/>
          <w:sz w:val="32"/>
          <w:szCs w:val="32"/>
        </w:rPr>
        <w:t>整体支出情况</w:t>
      </w:r>
      <w:r>
        <w:rPr>
          <w:rFonts w:hint="eastAsia" w:eastAsia="仿宋_GB2312"/>
          <w:color w:val="000000"/>
          <w:sz w:val="32"/>
          <w:szCs w:val="32"/>
          <w:lang w:val="en-US" w:eastAsia="zh-CN"/>
        </w:rPr>
        <w:t>如下：</w:t>
      </w:r>
      <w:r>
        <w:rPr>
          <w:rFonts w:hint="eastAsia" w:ascii="Times New Roman" w:hAnsi="Times New Roman" w:eastAsia="仿宋_GB2312"/>
          <w:sz w:val="32"/>
          <w:szCs w:val="32"/>
        </w:rPr>
        <w:t>202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仿宋_GB2312"/>
          <w:sz w:val="32"/>
          <w:szCs w:val="32"/>
        </w:rPr>
        <w:t>年度支出合计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268.1</w:t>
      </w:r>
      <w:r>
        <w:rPr>
          <w:rFonts w:hint="eastAsia" w:eastAsia="仿宋_GB2312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仿宋_GB2312"/>
          <w:sz w:val="32"/>
          <w:szCs w:val="32"/>
        </w:rPr>
        <w:t>万元，其中：基本支出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268.1</w:t>
      </w:r>
      <w:r>
        <w:rPr>
          <w:rFonts w:hint="eastAsia" w:eastAsia="仿宋_GB2312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仿宋_GB2312"/>
          <w:sz w:val="32"/>
          <w:szCs w:val="32"/>
        </w:rPr>
        <w:t>万元，占100%；项目支出0万元，占0%</w:t>
      </w:r>
      <w:r>
        <w:rPr>
          <w:rFonts w:hint="eastAsia" w:eastAsia="仿宋_GB2312"/>
          <w:sz w:val="32"/>
          <w:szCs w:val="32"/>
          <w:lang w:val="en-US" w:eastAsia="zh-CN"/>
        </w:rPr>
        <w:t>；2025年</w:t>
      </w:r>
      <w:r>
        <w:rPr>
          <w:rFonts w:hint="eastAsia" w:eastAsia="仿宋_GB2312"/>
          <w:color w:val="000000"/>
          <w:sz w:val="32"/>
          <w:szCs w:val="32"/>
        </w:rPr>
        <w:t>部门预算</w:t>
      </w:r>
      <w:r>
        <w:rPr>
          <w:rFonts w:hint="eastAsia" w:eastAsia="仿宋_GB2312"/>
          <w:color w:val="000000"/>
          <w:sz w:val="32"/>
          <w:szCs w:val="32"/>
          <w:lang w:val="en-US" w:eastAsia="zh-CN"/>
        </w:rPr>
        <w:t>收入为247.91万元，预算支出为247.91万元，支出决算这268.14万元，占预算收入的108.16%，主要是工资普调人员支出增加。</w:t>
      </w:r>
    </w:p>
    <w:p>
      <w:pPr>
        <w:pStyle w:val="8"/>
        <w:spacing w:line="570" w:lineRule="exact"/>
        <w:ind w:firstLine="640"/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二、一般公共预算支出情况</w:t>
      </w:r>
    </w:p>
    <w:p>
      <w:pPr>
        <w:pStyle w:val="9"/>
        <w:spacing w:line="600" w:lineRule="exact"/>
        <w:ind w:firstLine="640" w:firstLineChars="200"/>
        <w:rPr>
          <w:rFonts w:hint="eastAsia" w:ascii="Times New Roman" w:hAnsi="Times New Roman" w:eastAsia="仿宋_GB2312"/>
          <w:sz w:val="32"/>
          <w:szCs w:val="32"/>
          <w:lang w:eastAsia="zh-CN"/>
        </w:rPr>
      </w:pPr>
      <w:r>
        <w:rPr>
          <w:rFonts w:ascii="Times New Roman" w:hAnsi="Times New Roman" w:eastAsia="仿宋_GB2312"/>
          <w:sz w:val="32"/>
          <w:szCs w:val="32"/>
        </w:rPr>
        <w:t>（一）基本支出情况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：</w:t>
      </w:r>
      <w:r>
        <w:rPr>
          <w:rFonts w:hint="eastAsia" w:ascii="Times New Roman" w:hAnsi="Times New Roman" w:eastAsia="仿宋_GB2312"/>
          <w:sz w:val="32"/>
          <w:szCs w:val="32"/>
        </w:rPr>
        <w:t>202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仿宋_GB2312"/>
          <w:sz w:val="32"/>
          <w:szCs w:val="32"/>
        </w:rPr>
        <w:t>年度财政拨款基本支出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268.15</w:t>
      </w:r>
      <w:r>
        <w:rPr>
          <w:rFonts w:hint="eastAsia" w:ascii="Times New Roman" w:hAnsi="Times New Roman" w:eastAsia="仿宋_GB2312"/>
          <w:sz w:val="32"/>
          <w:szCs w:val="32"/>
        </w:rPr>
        <w:t>万元，其中：人员经费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260.49</w:t>
      </w:r>
      <w:r>
        <w:rPr>
          <w:rFonts w:hint="eastAsia" w:ascii="Times New Roman" w:hAnsi="Times New Roman" w:eastAsia="仿宋_GB2312"/>
          <w:sz w:val="32"/>
          <w:szCs w:val="32"/>
        </w:rPr>
        <w:t>万元，占基本支出的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97.14</w:t>
      </w:r>
      <w:r>
        <w:rPr>
          <w:rFonts w:hint="eastAsia" w:ascii="Times New Roman" w:hAnsi="Times New Roman" w:eastAsia="仿宋_GB2312"/>
          <w:sz w:val="32"/>
          <w:szCs w:val="32"/>
        </w:rPr>
        <w:t>%,主要包括基本工资、津贴补贴、奖金、养老保险缴费、职工基本医疗保险缴费、抚恤金等。</w:t>
      </w:r>
      <w:r>
        <w:rPr>
          <w:rFonts w:hint="eastAsia" w:ascii="Times New Roman" w:hAnsi="Times New Roman" w:eastAsia="仿宋_GB2312"/>
          <w:b/>
          <w:bCs/>
          <w:sz w:val="32"/>
          <w:szCs w:val="32"/>
        </w:rPr>
        <w:t>公用经费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7.65</w:t>
      </w:r>
      <w:r>
        <w:rPr>
          <w:rFonts w:hint="eastAsia" w:ascii="Times New Roman" w:hAnsi="Times New Roman" w:eastAsia="仿宋_GB2312"/>
          <w:sz w:val="32"/>
          <w:szCs w:val="32"/>
        </w:rPr>
        <w:t>万元，占基本支出的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2.85</w:t>
      </w:r>
      <w:r>
        <w:rPr>
          <w:rFonts w:hint="eastAsia" w:ascii="Times New Roman" w:hAnsi="Times New Roman" w:eastAsia="仿宋_GB2312"/>
          <w:sz w:val="32"/>
          <w:szCs w:val="32"/>
        </w:rPr>
        <w:t>%，主要包括办公费、水费、电费、邮电费、差旅费、工会经费、福利费等。</w:t>
      </w:r>
    </w:p>
    <w:p>
      <w:pPr>
        <w:pStyle w:val="8"/>
        <w:spacing w:line="570" w:lineRule="exact"/>
        <w:ind w:firstLine="640"/>
        <w:rPr>
          <w:rFonts w:hint="eastAsia" w:ascii="Times New Roman" w:hAnsi="Times New Roman" w:eastAsia="仿宋_GB2312"/>
          <w:sz w:val="32"/>
          <w:szCs w:val="32"/>
          <w:lang w:val="en-US" w:eastAsia="zh-CN"/>
        </w:rPr>
      </w:pPr>
      <w:r>
        <w:rPr>
          <w:rFonts w:ascii="Times New Roman" w:hAnsi="Times New Roman" w:eastAsia="仿宋_GB2312"/>
          <w:sz w:val="32"/>
          <w:szCs w:val="32"/>
        </w:rPr>
        <w:t>（二）项目支出情况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：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无</w:t>
      </w:r>
    </w:p>
    <w:p>
      <w:pPr>
        <w:pStyle w:val="8"/>
        <w:spacing w:line="570" w:lineRule="exact"/>
        <w:ind w:firstLine="640"/>
        <w:rPr>
          <w:rFonts w:hint="eastAsia"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三、政府性基金预算支出情况</w:t>
      </w:r>
    </w:p>
    <w:p>
      <w:pPr>
        <w:pStyle w:val="8"/>
        <w:spacing w:line="570" w:lineRule="exact"/>
        <w:ind w:firstLine="640"/>
        <w:rPr>
          <w:rFonts w:hint="eastAsia" w:ascii="Times New Roman" w:hAnsi="Times New Roman" w:eastAsia="仿宋_GB2312"/>
          <w:color w:val="000000"/>
          <w:sz w:val="32"/>
          <w:szCs w:val="32"/>
          <w:lang w:eastAsia="zh-CN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</w:rPr>
        <w:t>我单位无政府性基金预算支出情况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eastAsia="zh-CN"/>
        </w:rPr>
        <w:t>。</w:t>
      </w:r>
    </w:p>
    <w:p>
      <w:pPr>
        <w:pStyle w:val="8"/>
        <w:numPr>
          <w:ilvl w:val="0"/>
          <w:numId w:val="1"/>
        </w:numPr>
        <w:spacing w:line="570" w:lineRule="exact"/>
        <w:ind w:firstLine="640"/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国有资本经营预算支出情况</w:t>
      </w:r>
    </w:p>
    <w:p>
      <w:pPr>
        <w:pStyle w:val="8"/>
        <w:numPr>
          <w:ilvl w:val="0"/>
          <w:numId w:val="0"/>
        </w:numPr>
        <w:spacing w:line="570" w:lineRule="exact"/>
        <w:rPr>
          <w:rFonts w:hint="eastAsia" w:ascii="Times New Roman" w:hAnsi="Times New Roman" w:eastAsia="仿宋_GB231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</w:rPr>
        <w:t>我单位无国有资本经营预算支出情况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eastAsia="zh-CN"/>
        </w:rPr>
        <w:t>。</w:t>
      </w:r>
    </w:p>
    <w:p>
      <w:pPr>
        <w:pStyle w:val="8"/>
        <w:numPr>
          <w:ilvl w:val="0"/>
          <w:numId w:val="1"/>
        </w:numPr>
        <w:spacing w:line="570" w:lineRule="exact"/>
        <w:ind w:left="0" w:leftChars="0" w:firstLine="640" w:firstLineChars="200"/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社会保险基金预算支出情况</w:t>
      </w:r>
    </w:p>
    <w:p>
      <w:pPr>
        <w:pStyle w:val="8"/>
        <w:numPr>
          <w:ilvl w:val="0"/>
          <w:numId w:val="0"/>
        </w:numPr>
        <w:spacing w:line="570" w:lineRule="exact"/>
        <w:ind w:leftChars="200"/>
        <w:rPr>
          <w:rFonts w:hint="eastAsia" w:ascii="Times New Roman" w:hAnsi="Times New Roman" w:eastAsia="仿宋_GB231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</w:rPr>
        <w:t>我单位无社会保险基金预算支出情况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eastAsia="zh-CN"/>
        </w:rPr>
        <w:t>。</w:t>
      </w:r>
    </w:p>
    <w:p>
      <w:pPr>
        <w:spacing w:line="570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六、部门整体支出绩效情况</w:t>
      </w:r>
    </w:p>
    <w:p>
      <w:pPr>
        <w:spacing w:line="570" w:lineRule="exact"/>
        <w:ind w:firstLine="640" w:firstLineChars="20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总结归纳本部门（单位）“四本预算”支出的绩效目标完成情况，实现产出和取得效益的情况。围绕部门（单位）职责、行业发展规划，以预算资金管理为主线，总结部门（单位）资产管理和开展业务情况，从运行成本、管理效率、履职效能、社会效应、可持续发展能力和服务对象满意度等方面，衡量部门（单位）整体及核心业务实施效果。</w:t>
      </w:r>
    </w:p>
    <w:p>
      <w:pPr>
        <w:pStyle w:val="8"/>
        <w:spacing w:line="570" w:lineRule="exact"/>
        <w:ind w:firstLine="640"/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七、存在的问题及原因分析</w:t>
      </w:r>
    </w:p>
    <w:p>
      <w:pPr>
        <w:pStyle w:val="9"/>
        <w:spacing w:line="58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总结归纳本部门（单位）支出的绩效目标完成情况，实现产出和取得效益的情况。围绕部门（单位）职责、行业发展规划，以预算资金管理为主线，总结部门（单位）资产管理和开展业务情况，从运行成本、管理效率、履职效能、社会效应、可持续发展能力和服务对象满意度等方面，衡量部门（单位）整体及核心业务实施效果。</w:t>
      </w:r>
    </w:p>
    <w:p>
      <w:pPr>
        <w:autoSpaceDE w:val="0"/>
        <w:spacing w:line="540" w:lineRule="exact"/>
        <w:ind w:firstLine="640" w:firstLineChars="200"/>
        <w:rPr>
          <w:rFonts w:ascii="Times New Roman" w:hAnsi="Times New Roman" w:eastAsia="仿宋_GB2312" w:cs="黑体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仿宋_GB2312" w:cs="黑体"/>
          <w:color w:val="000000"/>
          <w:kern w:val="0"/>
          <w:sz w:val="32"/>
          <w:szCs w:val="32"/>
        </w:rPr>
        <w:t>2、组织对本单位开展整体支出绩效评价，涉及一般公共预算支出</w:t>
      </w:r>
      <w:r>
        <w:rPr>
          <w:rFonts w:hint="eastAsia" w:ascii="Times New Roman" w:hAnsi="Times New Roman" w:eastAsia="仿宋_GB2312" w:cs="黑体"/>
          <w:color w:val="000000"/>
          <w:kern w:val="0"/>
          <w:sz w:val="32"/>
          <w:szCs w:val="32"/>
          <w:lang w:val="en-US" w:eastAsia="zh-CN"/>
        </w:rPr>
        <w:t>268.14</w:t>
      </w:r>
      <w:r>
        <w:rPr>
          <w:rFonts w:hint="eastAsia" w:ascii="Times New Roman" w:hAnsi="Times New Roman" w:eastAsia="仿宋_GB2312" w:cs="黑体"/>
          <w:color w:val="000000"/>
          <w:kern w:val="0"/>
          <w:sz w:val="32"/>
          <w:szCs w:val="32"/>
        </w:rPr>
        <w:t>万元，政府性基金预算支出0</w:t>
      </w:r>
      <w:r>
        <w:rPr>
          <w:rFonts w:ascii="Times New Roman" w:hAnsi="Times New Roman" w:eastAsia="仿宋_GB2312" w:cs="黑体"/>
          <w:color w:val="000000"/>
          <w:kern w:val="0"/>
          <w:sz w:val="32"/>
          <w:szCs w:val="32"/>
        </w:rPr>
        <w:t xml:space="preserve"> </w:t>
      </w:r>
      <w:r>
        <w:rPr>
          <w:rFonts w:hint="eastAsia" w:ascii="Times New Roman" w:hAnsi="Times New Roman" w:eastAsia="仿宋_GB2312" w:cs="黑体"/>
          <w:color w:val="000000"/>
          <w:kern w:val="0"/>
          <w:sz w:val="32"/>
          <w:szCs w:val="32"/>
        </w:rPr>
        <w:t>万元。从评价情况来看，</w:t>
      </w:r>
      <w:r>
        <w:rPr>
          <w:rFonts w:ascii="Times New Roman" w:hAnsi="Times New Roman" w:eastAsia="仿宋_GB2312" w:cs="黑体"/>
          <w:color w:val="000000"/>
          <w:kern w:val="0"/>
          <w:sz w:val="32"/>
          <w:szCs w:val="32"/>
        </w:rPr>
        <w:t>坚持以党</w:t>
      </w:r>
      <w:r>
        <w:rPr>
          <w:rFonts w:hint="eastAsia" w:ascii="Times New Roman" w:hAnsi="Times New Roman" w:eastAsia="仿宋_GB2312" w:cs="黑体"/>
          <w:color w:val="000000"/>
          <w:kern w:val="0"/>
          <w:sz w:val="32"/>
          <w:szCs w:val="32"/>
        </w:rPr>
        <w:t>的</w:t>
      </w:r>
      <w:r>
        <w:rPr>
          <w:rFonts w:hint="eastAsia" w:ascii="Times New Roman" w:hAnsi="Times New Roman" w:eastAsia="仿宋_GB2312" w:cs="黑体"/>
          <w:color w:val="000000"/>
          <w:kern w:val="0"/>
          <w:sz w:val="32"/>
          <w:szCs w:val="32"/>
        </w:rPr>
        <w:fldChar w:fldCharType="begin"/>
      </w:r>
      <w:r>
        <w:rPr>
          <w:rFonts w:hint="eastAsia" w:ascii="Times New Roman" w:hAnsi="Times New Roman" w:eastAsia="仿宋_GB2312" w:cs="黑体"/>
          <w:color w:val="000000"/>
          <w:kern w:val="0"/>
          <w:sz w:val="32"/>
          <w:szCs w:val="32"/>
        </w:rPr>
        <w:instrText xml:space="preserve"> HYPERLINK "http://www.wm114.cn/0o/32/index.html" </w:instrText>
      </w:r>
      <w:r>
        <w:rPr>
          <w:rFonts w:hint="eastAsia" w:ascii="Times New Roman" w:hAnsi="Times New Roman" w:eastAsia="仿宋_GB2312" w:cs="黑体"/>
          <w:color w:val="000000"/>
          <w:kern w:val="0"/>
          <w:sz w:val="32"/>
          <w:szCs w:val="32"/>
        </w:rPr>
        <w:fldChar w:fldCharType="separate"/>
      </w:r>
      <w:r>
        <w:rPr>
          <w:rFonts w:hint="eastAsia" w:ascii="Times New Roman" w:hAnsi="Times New Roman" w:eastAsia="仿宋_GB2312" w:cs="黑体"/>
          <w:color w:val="000000"/>
          <w:kern w:val="0"/>
          <w:sz w:val="32"/>
          <w:szCs w:val="32"/>
        </w:rPr>
        <w:t>二十大会</w:t>
      </w:r>
      <w:r>
        <w:rPr>
          <w:rFonts w:hint="eastAsia" w:ascii="Times New Roman" w:hAnsi="Times New Roman" w:eastAsia="仿宋_GB2312" w:cs="黑体"/>
          <w:color w:val="000000"/>
          <w:kern w:val="0"/>
          <w:sz w:val="32"/>
          <w:szCs w:val="32"/>
        </w:rPr>
        <w:fldChar w:fldCharType="end"/>
      </w:r>
      <w:r>
        <w:rPr>
          <w:rFonts w:hint="eastAsia" w:ascii="Times New Roman" w:hAnsi="Times New Roman" w:eastAsia="仿宋_GB2312" w:cs="黑体"/>
          <w:color w:val="000000"/>
          <w:kern w:val="0"/>
          <w:sz w:val="32"/>
          <w:szCs w:val="32"/>
        </w:rPr>
        <w:t>议精</w:t>
      </w:r>
      <w:r>
        <w:rPr>
          <w:rFonts w:ascii="Times New Roman" w:hAnsi="Times New Roman" w:eastAsia="仿宋_GB2312" w:cs="黑体"/>
          <w:color w:val="000000"/>
          <w:kern w:val="0"/>
          <w:sz w:val="32"/>
          <w:szCs w:val="32"/>
        </w:rPr>
        <w:t>神为指导，继续推进供销合作社综合改革，紧紧围绕县委、县政府的发展战略，坚持为农服务宗旨，进一步夯实改革发展的内生动力，增强服务功能，努力把供销合作社打造成服务“三农”的生力军和主阵地。</w:t>
      </w:r>
    </w:p>
    <w:p>
      <w:pPr>
        <w:autoSpaceDE w:val="0"/>
        <w:spacing w:line="540" w:lineRule="exact"/>
        <w:ind w:firstLine="960" w:firstLineChars="300"/>
        <w:rPr>
          <w:rFonts w:ascii="Times New Roman" w:hAnsi="Times New Roman" w:eastAsia="仿宋_GB2312" w:cs="黑体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仿宋_GB2312" w:cs="黑体"/>
          <w:color w:val="000000"/>
          <w:kern w:val="0"/>
          <w:sz w:val="32"/>
          <w:szCs w:val="32"/>
        </w:rPr>
        <w:t>一是恢复重建基层社</w:t>
      </w:r>
      <w:r>
        <w:rPr>
          <w:rFonts w:ascii="Times New Roman" w:hAnsi="Times New Roman" w:eastAsia="仿宋_GB2312" w:cs="黑体"/>
          <w:color w:val="000000"/>
          <w:kern w:val="0"/>
          <w:sz w:val="32"/>
          <w:szCs w:val="32"/>
        </w:rPr>
        <w:t>2家</w:t>
      </w:r>
      <w:r>
        <w:rPr>
          <w:rFonts w:hint="eastAsia" w:ascii="Times New Roman" w:hAnsi="Times New Roman" w:eastAsia="仿宋_GB2312" w:cs="黑体"/>
          <w:color w:val="000000"/>
          <w:kern w:val="0"/>
          <w:sz w:val="32"/>
          <w:szCs w:val="32"/>
        </w:rPr>
        <w:t>，二是</w:t>
      </w:r>
      <w:r>
        <w:rPr>
          <w:rFonts w:ascii="Times New Roman" w:hAnsi="Times New Roman" w:eastAsia="仿宋_GB2312" w:cs="黑体"/>
          <w:color w:val="000000"/>
          <w:kern w:val="0"/>
          <w:sz w:val="32"/>
          <w:szCs w:val="32"/>
        </w:rPr>
        <w:t>以粮安水稻种植农民专业合作社联合社为龙头，引导农户种植标准化农田1.5</w:t>
      </w:r>
      <w:r>
        <w:rPr>
          <w:rFonts w:hint="eastAsia" w:ascii="Times New Roman" w:hAnsi="Times New Roman" w:eastAsia="仿宋_GB2312" w:cs="黑体"/>
          <w:color w:val="000000"/>
          <w:kern w:val="0"/>
          <w:sz w:val="32"/>
          <w:szCs w:val="32"/>
        </w:rPr>
        <w:t>万</w:t>
      </w:r>
      <w:r>
        <w:rPr>
          <w:rFonts w:ascii="Times New Roman" w:hAnsi="Times New Roman" w:eastAsia="仿宋_GB2312" w:cs="黑体"/>
          <w:color w:val="000000"/>
          <w:kern w:val="0"/>
          <w:sz w:val="32"/>
          <w:szCs w:val="32"/>
        </w:rPr>
        <w:t>亩，增加农民收入</w:t>
      </w:r>
      <w:r>
        <w:rPr>
          <w:rFonts w:hint="eastAsia" w:ascii="Times New Roman" w:hAnsi="Times New Roman" w:eastAsia="仿宋_GB2312" w:cs="黑体"/>
          <w:color w:val="000000"/>
          <w:kern w:val="0"/>
          <w:sz w:val="32"/>
          <w:szCs w:val="32"/>
        </w:rPr>
        <w:t>，三是</w:t>
      </w:r>
      <w:r>
        <w:rPr>
          <w:rFonts w:ascii="Times New Roman" w:hAnsi="Times New Roman" w:eastAsia="仿宋_GB2312" w:cs="黑体"/>
          <w:color w:val="000000"/>
          <w:kern w:val="0"/>
          <w:sz w:val="32"/>
          <w:szCs w:val="32"/>
        </w:rPr>
        <w:t>以市“供销惠万家一网通”运营平台为依托，在全县22个乡镇（街道）建设“供销惠万家一网通”服务中心站点，构建市、县、乡、村四级贯通“供销惠万家一网通”服务体系。</w:t>
      </w:r>
    </w:p>
    <w:p>
      <w:pPr>
        <w:numPr>
          <w:ilvl w:val="0"/>
          <w:numId w:val="2"/>
        </w:numPr>
        <w:spacing w:line="570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下一步改进措施</w:t>
      </w:r>
    </w:p>
    <w:p>
      <w:pPr>
        <w:autoSpaceDE w:val="0"/>
        <w:adjustRightInd w:val="0"/>
        <w:snapToGrid w:val="0"/>
        <w:spacing w:line="540" w:lineRule="exact"/>
        <w:ind w:firstLine="640" w:firstLineChars="200"/>
        <w:rPr>
          <w:rFonts w:hint="eastAsia" w:ascii="Times New Roman" w:hAnsi="Times New Roman" w:eastAsia="仿宋_GB2312" w:cs="黑体"/>
          <w:color w:val="000000"/>
          <w:kern w:val="0"/>
          <w:sz w:val="32"/>
          <w:szCs w:val="32"/>
        </w:rPr>
      </w:pPr>
      <w:r>
        <w:rPr>
          <w:rFonts w:hint="eastAsia" w:eastAsia="仿宋_GB2312" w:cs="黑体"/>
          <w:color w:val="000000"/>
          <w:kern w:val="0"/>
          <w:sz w:val="32"/>
          <w:szCs w:val="32"/>
          <w:lang w:val="en-US" w:eastAsia="zh-CN"/>
        </w:rPr>
        <w:t>进一步细化预算，压实支出责任牢固树立过“紧日子”思想</w:t>
      </w:r>
      <w:r>
        <w:rPr>
          <w:rFonts w:ascii="Times New Roman" w:hAnsi="Times New Roman" w:eastAsia="仿宋_GB2312" w:cs="黑体"/>
          <w:color w:val="000000"/>
          <w:kern w:val="0"/>
          <w:sz w:val="32"/>
          <w:szCs w:val="32"/>
        </w:rPr>
        <w:t>。</w:t>
      </w:r>
    </w:p>
    <w:p>
      <w:pPr>
        <w:pStyle w:val="2"/>
        <w:numPr>
          <w:ilvl w:val="0"/>
          <w:numId w:val="0"/>
        </w:numPr>
      </w:pPr>
    </w:p>
    <w:p>
      <w:pPr>
        <w:numPr>
          <w:ilvl w:val="0"/>
          <w:numId w:val="2"/>
        </w:numPr>
        <w:spacing w:line="570" w:lineRule="exact"/>
        <w:ind w:left="0" w:leftChars="0" w:firstLine="640" w:firstLineChars="20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部门整体支出绩效自评结果拟应用和公开情况</w:t>
      </w:r>
    </w:p>
    <w:p>
      <w:pPr>
        <w:pStyle w:val="2"/>
        <w:numPr>
          <w:ilvl w:val="0"/>
          <w:numId w:val="0"/>
        </w:numPr>
        <w:ind w:leftChars="200" w:firstLine="640" w:firstLineChars="200"/>
        <w:rPr>
          <w:rFonts w:hint="default" w:ascii="Times New Roman" w:hAnsi="Times New Roman" w:eastAsia="仿宋_GB2312" w:cs="黑体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黑体"/>
          <w:color w:val="000000"/>
          <w:kern w:val="0"/>
          <w:sz w:val="32"/>
          <w:szCs w:val="32"/>
          <w:lang w:val="en-US" w:eastAsia="zh-CN" w:bidi="ar-SA"/>
        </w:rPr>
        <w:t>我单位严格按预决算公开要求，按时间节点向全社会公开预决算。</w:t>
      </w:r>
    </w:p>
    <w:p>
      <w:pPr>
        <w:numPr>
          <w:ilvl w:val="0"/>
          <w:numId w:val="2"/>
        </w:numPr>
        <w:spacing w:line="570" w:lineRule="exact"/>
        <w:ind w:left="0" w:leftChars="0" w:firstLine="640" w:firstLineChars="20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其他需要说明的情况</w:t>
      </w:r>
    </w:p>
    <w:p>
      <w:pPr>
        <w:pStyle w:val="2"/>
        <w:numPr>
          <w:ilvl w:val="0"/>
          <w:numId w:val="0"/>
        </w:numPr>
        <w:ind w:leftChars="200" w:firstLine="640" w:firstLineChars="200"/>
        <w:rPr>
          <w:rFonts w:hint="default" w:ascii="Times New Roman" w:hAnsi="Times New Roman" w:eastAsia="仿宋_GB2312" w:cs="黑体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黑体"/>
          <w:color w:val="000000"/>
          <w:kern w:val="0"/>
          <w:sz w:val="32"/>
          <w:szCs w:val="32"/>
          <w:lang w:val="en-US" w:eastAsia="zh-CN" w:bidi="ar-SA"/>
        </w:rPr>
        <w:t xml:space="preserve">       无</w:t>
      </w:r>
    </w:p>
    <w:p>
      <w:bookmarkStart w:id="3" w:name="_GoBack"/>
      <w:bookmarkEnd w:id="3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82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E2B7846"/>
    <w:multiLevelType w:val="singleLevel"/>
    <w:tmpl w:val="5E2B7846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5EDF05DE"/>
    <w:multiLevelType w:val="singleLevel"/>
    <w:tmpl w:val="5EDF05DE"/>
    <w:lvl w:ilvl="0" w:tentative="0">
      <w:start w:val="8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U5ZWU0YzczYzJkMDE3YjZmMDc5NDdmMGMyNzhjNDYifQ=="/>
  </w:docVars>
  <w:rsids>
    <w:rsidRoot w:val="00000000"/>
    <w:rsid w:val="0D2A42A8"/>
    <w:rsid w:val="153C5596"/>
    <w:rsid w:val="2E334309"/>
    <w:rsid w:val="2FC807F7"/>
    <w:rsid w:val="56CB737D"/>
    <w:rsid w:val="57076020"/>
    <w:rsid w:val="6E9F2B3A"/>
    <w:rsid w:val="6FDE26A1"/>
    <w:rsid w:val="6FE53683"/>
    <w:rsid w:val="75C14F13"/>
    <w:rsid w:val="7CFA7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qFormat="1" w:unhideWhenUsed="0" w:uiPriority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next w:val="3"/>
    <w:semiHidden/>
    <w:qFormat/>
    <w:uiPriority w:val="0"/>
    <w:pPr>
      <w:snapToGrid w:val="0"/>
      <w:jc w:val="left"/>
    </w:pPr>
    <w:rPr>
      <w:sz w:val="18"/>
      <w:szCs w:val="18"/>
    </w:rPr>
  </w:style>
  <w:style w:type="paragraph" w:styleId="3">
    <w:name w:val="Body Text First Indent 2"/>
    <w:basedOn w:val="4"/>
    <w:next w:val="1"/>
    <w:unhideWhenUsed/>
    <w:qFormat/>
    <w:uiPriority w:val="99"/>
    <w:pPr>
      <w:ind w:firstLine="420" w:firstLineChars="200"/>
    </w:pPr>
  </w:style>
  <w:style w:type="paragraph" w:styleId="4">
    <w:name w:val="Body Text Indent"/>
    <w:basedOn w:val="1"/>
    <w:next w:val="3"/>
    <w:unhideWhenUsed/>
    <w:qFormat/>
    <w:uiPriority w:val="99"/>
    <w:pPr>
      <w:widowControl/>
      <w:spacing w:after="120"/>
      <w:ind w:left="420" w:leftChars="200"/>
      <w:jc w:val="left"/>
    </w:pPr>
    <w:rPr>
      <w:rFonts w:ascii="宋体" w:hAnsi="宋体" w:eastAsia="宋体" w:cs="宋体"/>
      <w:kern w:val="0"/>
      <w:sz w:val="24"/>
    </w:rPr>
  </w:style>
  <w:style w:type="paragraph" w:styleId="5">
    <w:name w:val="Normal Indent"/>
    <w:basedOn w:val="1"/>
    <w:qFormat/>
    <w:uiPriority w:val="0"/>
    <w:pPr>
      <w:ind w:firstLine="420"/>
    </w:pPr>
    <w:rPr>
      <w:szCs w:val="20"/>
    </w:rPr>
  </w:style>
  <w:style w:type="paragraph" w:styleId="8">
    <w:name w:val="List Paragraph"/>
    <w:basedOn w:val="1"/>
    <w:qFormat/>
    <w:uiPriority w:val="99"/>
    <w:pPr>
      <w:ind w:firstLine="420" w:firstLineChars="200"/>
    </w:pPr>
    <w:rPr>
      <w:rFonts w:ascii="Calibri" w:hAnsi="Calibri"/>
      <w:kern w:val="0"/>
      <w:sz w:val="28"/>
      <w:szCs w:val="22"/>
    </w:rPr>
  </w:style>
  <w:style w:type="paragraph" w:customStyle="1" w:styleId="9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Calibri" w:eastAsia="黑体" w:cs="黑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1554</Words>
  <Characters>1641</Characters>
  <Lines>0</Lines>
  <Paragraphs>0</Paragraphs>
  <TotalTime>7</TotalTime>
  <ScaleCrop>false</ScaleCrop>
  <LinksUpToDate>false</LinksUpToDate>
  <CharactersWithSpaces>1661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2026-03-13T07:17:00Z</dcterms:created>
  <dc:creator>29448</dc:creator>
  <cp:lastModifiedBy>水蜜桃</cp:lastModifiedBy>
  <dcterms:modified xsi:type="dcterms:W3CDTF">2026-09-11T02:24:07Z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KSOTemplateDocerSaveRecord">
    <vt:lpwstr>eyJoZGlkIjoiNDEyYTkxZWFhMjMzZDY2NTJiNzAzZDNkMTJlN2NmYjMiLCJ1c2VySWQiOiI2NjAzNzQ3NTEifQ==</vt:lpwstr>
  </property>
  <property fmtid="{D5CDD505-2E9C-101B-9397-08002B2CF9AE}" pid="4" name="ICV">
    <vt:lpwstr>B6C3BC44E4734C6789FFF555F253767F_13</vt:lpwstr>
  </property>
</Properties>
</file>