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黑体"/>
          <w:sz w:val="32"/>
          <w:szCs w:val="32"/>
        </w:rPr>
      </w:pPr>
      <w:r>
        <w:rPr>
          <w:rFonts w:hint="eastAsia" w:ascii="黑体" w:hAnsi="黑体" w:eastAsia="黑体" w:cs="黑体"/>
          <w:sz w:val="32"/>
          <w:szCs w:val="32"/>
        </w:rPr>
        <w:t>附件3</w:t>
      </w:r>
    </w:p>
    <w:p>
      <w:pPr>
        <w:spacing w:line="600" w:lineRule="exact"/>
        <w:rPr>
          <w:rFonts w:eastAsia="黑体"/>
          <w:sz w:val="32"/>
          <w:szCs w:val="32"/>
        </w:rPr>
      </w:pPr>
    </w:p>
    <w:p>
      <w:pPr>
        <w:spacing w:line="600" w:lineRule="exact"/>
        <w:rPr>
          <w:rFonts w:eastAsia="黑体"/>
          <w:sz w:val="32"/>
          <w:szCs w:val="32"/>
        </w:rPr>
      </w:pPr>
    </w:p>
    <w:p>
      <w:pPr>
        <w:spacing w:line="600" w:lineRule="exact"/>
        <w:rPr>
          <w:rFonts w:eastAsia="黑体"/>
          <w:sz w:val="32"/>
          <w:szCs w:val="32"/>
        </w:rPr>
      </w:pPr>
    </w:p>
    <w:p>
      <w:pPr>
        <w:spacing w:line="600" w:lineRule="exact"/>
        <w:rPr>
          <w:rFonts w:eastAsia="黑体"/>
          <w:sz w:val="32"/>
          <w:szCs w:val="32"/>
        </w:rPr>
      </w:pPr>
    </w:p>
    <w:p>
      <w:pPr>
        <w:jc w:val="center"/>
        <w:rPr>
          <w:rFonts w:hint="eastAsia" w:ascii="方正小标宋简体" w:eastAsia="方正小标宋简体"/>
          <w:sz w:val="52"/>
          <w:szCs w:val="52"/>
        </w:rPr>
      </w:pPr>
      <w:r>
        <w:rPr>
          <w:rFonts w:hint="eastAsia" w:ascii="方正小标宋简体" w:eastAsia="方正小标宋简体"/>
          <w:sz w:val="52"/>
          <w:szCs w:val="52"/>
        </w:rPr>
        <w:t>2025年度</w:t>
      </w:r>
      <w:r>
        <w:rPr>
          <w:rFonts w:hint="eastAsia" w:ascii="方正小标宋简体" w:eastAsia="方正小标宋简体"/>
          <w:sz w:val="52"/>
          <w:szCs w:val="52"/>
          <w:lang w:eastAsia="zh-CN"/>
        </w:rPr>
        <w:t>道县交通运输局</w:t>
      </w:r>
      <w:r>
        <w:rPr>
          <w:rFonts w:hint="eastAsia" w:ascii="方正小标宋简体" w:eastAsia="方正小标宋简体"/>
          <w:sz w:val="52"/>
          <w:szCs w:val="52"/>
        </w:rPr>
        <w:t>整体支出</w:t>
      </w:r>
    </w:p>
    <w:p>
      <w:pPr>
        <w:jc w:val="center"/>
        <w:rPr>
          <w:rFonts w:hint="eastAsia" w:ascii="方正小标宋简体" w:eastAsia="方正小标宋简体"/>
          <w:sz w:val="52"/>
          <w:szCs w:val="52"/>
        </w:rPr>
      </w:pPr>
      <w:r>
        <w:rPr>
          <w:rFonts w:hint="eastAsia" w:ascii="方正小标宋简体" w:eastAsia="方正小标宋简体"/>
          <w:sz w:val="52"/>
          <w:szCs w:val="52"/>
        </w:rPr>
        <w:t>绩效自评报告</w:t>
      </w:r>
    </w:p>
    <w:p>
      <w:pPr>
        <w:jc w:val="center"/>
        <w:rPr>
          <w:rFonts w:eastAsia="方正小标宋_GBK"/>
          <w:b/>
          <w:sz w:val="52"/>
          <w:szCs w:val="52"/>
        </w:rPr>
      </w:pPr>
    </w:p>
    <w:p>
      <w:pPr>
        <w:jc w:val="center"/>
        <w:rPr>
          <w:rFonts w:eastAsia="楷体_GB2312"/>
          <w:b/>
          <w:sz w:val="32"/>
          <w:szCs w:val="32"/>
        </w:rPr>
      </w:pPr>
    </w:p>
    <w:p>
      <w:pPr>
        <w:rPr>
          <w:rFonts w:eastAsia="楷体_GB2312"/>
          <w:b/>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rPr>
          <w:rFonts w:eastAsia="黑体"/>
          <w:sz w:val="32"/>
          <w:szCs w:val="32"/>
        </w:rPr>
      </w:pPr>
    </w:p>
    <w:p>
      <w:pPr>
        <w:jc w:val="center"/>
        <w:rPr>
          <w:rFonts w:eastAsia="黑体"/>
          <w:sz w:val="32"/>
          <w:szCs w:val="32"/>
        </w:rPr>
      </w:pPr>
    </w:p>
    <w:p>
      <w:pPr>
        <w:jc w:val="center"/>
        <w:rPr>
          <w:rFonts w:eastAsia="黑体"/>
          <w:sz w:val="32"/>
          <w:szCs w:val="32"/>
        </w:rPr>
      </w:pPr>
    </w:p>
    <w:p>
      <w:pPr>
        <w:numPr>
          <w:ilvl w:val="0"/>
          <w:numId w:val="1"/>
        </w:numPr>
        <w:spacing w:line="570" w:lineRule="exact"/>
        <w:ind w:firstLine="640" w:firstLineChars="200"/>
        <w:rPr>
          <w:rFonts w:eastAsia="黑体"/>
          <w:sz w:val="32"/>
          <w:szCs w:val="32"/>
        </w:rPr>
      </w:pPr>
      <w:r>
        <w:rPr>
          <w:rFonts w:eastAsia="仿宋_GB2312"/>
          <w:sz w:val="32"/>
          <w:szCs w:val="32"/>
        </w:rPr>
        <w:br w:type="page"/>
      </w:r>
      <w:r>
        <w:rPr>
          <w:rFonts w:eastAsia="黑体"/>
          <w:sz w:val="32"/>
          <w:szCs w:val="32"/>
        </w:rPr>
        <w:t>部门（单位）基本情况</w:t>
      </w:r>
    </w:p>
    <w:p>
      <w:pPr>
        <w:numPr>
          <w:ilvl w:val="0"/>
          <w:numId w:val="0"/>
        </w:numPr>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（一）部门（单位）职能职责、机构编制、人员构成等。</w:t>
      </w:r>
    </w:p>
    <w:p>
      <w:pPr>
        <w:pStyle w:val="4"/>
        <w:spacing w:line="570" w:lineRule="exact"/>
        <w:ind w:firstLine="64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职能职责：道县交通运输局主要工作职责是按照上级有关文件精神，搞好农村通畅工程建设和乡镇渡口、渡船安全管理。负责提出全县干线公路、重点和大中型公路、水路投资方案以及县级财政性资金安排建议；负责公路、桥梁、渡口、隧道和行业管理；负责全县道路和水路运输及航道行政处罚、行政强制执法监督管理工作。</w:t>
      </w:r>
    </w:p>
    <w:p>
      <w:pPr>
        <w:pStyle w:val="4"/>
        <w:spacing w:line="570" w:lineRule="exact"/>
        <w:ind w:firstLine="640"/>
        <w:rPr>
          <w:rFonts w:hint="eastAsia" w:ascii="仿宋_GB2312" w:eastAsia="仿宋_GB2312"/>
          <w:sz w:val="32"/>
          <w:szCs w:val="32"/>
        </w:rPr>
      </w:pPr>
      <w:r>
        <w:rPr>
          <w:rFonts w:hint="eastAsia" w:ascii="方正仿宋_GB2312" w:hAnsi="方正仿宋_GB2312" w:eastAsia="方正仿宋_GB2312" w:cs="方正仿宋_GB2312"/>
          <w:sz w:val="32"/>
          <w:szCs w:val="32"/>
        </w:rPr>
        <w:t>机构</w:t>
      </w:r>
      <w:r>
        <w:rPr>
          <w:rFonts w:hint="default" w:ascii="Times New Roman" w:hAnsi="Times New Roman" w:eastAsia="仿宋_GB2312" w:cs="Times New Roman"/>
          <w:sz w:val="32"/>
          <w:szCs w:val="32"/>
        </w:rPr>
        <w:t>设置：交通运输局共有干部职工46人.其中 机关行政编制为17名、机关工勤工3名、事业编制26名。今年与去年相比人数增加</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人。有6个内设机构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分别是</w:t>
      </w:r>
      <w:r>
        <w:rPr>
          <w:rFonts w:hint="eastAsia" w:ascii="仿宋_GB2312" w:hAnsi="仿宋_GB2312" w:eastAsia="仿宋_GB2312" w:cs="仿宋_GB2312"/>
          <w:color w:val="000000"/>
          <w:sz w:val="32"/>
          <w:szCs w:val="32"/>
          <w:shd w:val="clear" w:color="auto" w:fill="FFFFFF"/>
        </w:rPr>
        <w:t>办公室、政工股、财务审计股、安全法制</w:t>
      </w:r>
      <w:r>
        <w:rPr>
          <w:rFonts w:hint="eastAsia" w:ascii="仿宋_GB2312" w:hAnsi="仿宋_GB2312" w:eastAsia="仿宋_GB2312" w:cs="仿宋_GB2312"/>
          <w:color w:val="000000"/>
          <w:sz w:val="32"/>
          <w:szCs w:val="32"/>
          <w:shd w:val="clear" w:color="auto" w:fill="FFFFFF"/>
          <w:lang w:eastAsia="zh-CN"/>
        </w:rPr>
        <w:t>与</w:t>
      </w:r>
      <w:r>
        <w:rPr>
          <w:rFonts w:hint="eastAsia" w:ascii="仿宋_GB2312" w:hAnsi="仿宋_GB2312" w:eastAsia="仿宋_GB2312" w:cs="仿宋_GB2312"/>
          <w:color w:val="000000"/>
          <w:sz w:val="32"/>
          <w:szCs w:val="32"/>
          <w:shd w:val="clear" w:color="auto" w:fill="FFFFFF"/>
        </w:rPr>
        <w:t>行政审批股、</w:t>
      </w:r>
      <w:r>
        <w:rPr>
          <w:rFonts w:hint="eastAsia" w:ascii="仿宋_GB2312" w:hAnsi="仿宋_GB2312" w:eastAsia="仿宋_GB2312" w:cs="仿宋_GB2312"/>
          <w:color w:val="000000"/>
          <w:sz w:val="32"/>
          <w:szCs w:val="32"/>
          <w:shd w:val="clear" w:color="auto" w:fill="FFFFFF"/>
          <w:lang w:eastAsia="zh-CN"/>
        </w:rPr>
        <w:t>公路管理与</w:t>
      </w:r>
      <w:r>
        <w:rPr>
          <w:rFonts w:hint="eastAsia" w:ascii="仿宋_GB2312" w:hAnsi="仿宋_GB2312" w:eastAsia="仿宋_GB2312" w:cs="仿宋_GB2312"/>
          <w:color w:val="000000"/>
          <w:sz w:val="32"/>
          <w:szCs w:val="32"/>
          <w:shd w:val="clear" w:color="auto" w:fill="FFFFFF"/>
        </w:rPr>
        <w:t>运</w:t>
      </w:r>
      <w:r>
        <w:rPr>
          <w:rFonts w:hint="default" w:ascii="Times New Roman" w:hAnsi="Times New Roman" w:eastAsia="仿宋_GB2312" w:cs="Times New Roman"/>
          <w:color w:val="000000"/>
          <w:sz w:val="32"/>
          <w:szCs w:val="32"/>
          <w:shd w:val="clear" w:color="auto" w:fill="FFFFFF"/>
        </w:rPr>
        <w:t>输股</w:t>
      </w:r>
      <w:r>
        <w:rPr>
          <w:rFonts w:hint="default" w:ascii="Times New Roman" w:hAnsi="Times New Roman" w:eastAsia="仿宋_GB2312" w:cs="Times New Roman"/>
          <w:color w:val="000000"/>
          <w:sz w:val="32"/>
          <w:szCs w:val="32"/>
          <w:shd w:val="clear" w:color="auto" w:fill="FFFFFF"/>
          <w:lang w:val="en-US" w:eastAsia="zh-CN"/>
        </w:rPr>
        <w:t>5</w:t>
      </w:r>
      <w:r>
        <w:rPr>
          <w:rFonts w:hint="default" w:ascii="Times New Roman" w:hAnsi="Times New Roman" w:eastAsia="仿宋_GB2312" w:cs="Times New Roman"/>
          <w:color w:val="000000"/>
          <w:sz w:val="32"/>
          <w:szCs w:val="32"/>
          <w:shd w:val="clear" w:color="auto" w:fill="FFFFFF"/>
        </w:rPr>
        <w:t>个职能股室</w:t>
      </w:r>
      <w:r>
        <w:rPr>
          <w:rFonts w:hint="eastAsia" w:ascii="仿宋_GB2312" w:eastAsia="仿宋_GB2312"/>
          <w:sz w:val="32"/>
          <w:szCs w:val="32"/>
        </w:rPr>
        <w:t>。下辖道县交通运输综合行政执法大队</w:t>
      </w:r>
      <w:r>
        <w:rPr>
          <w:rFonts w:hint="eastAsia" w:ascii="仿宋_GB2312" w:eastAsia="仿宋_GB2312"/>
          <w:sz w:val="32"/>
          <w:szCs w:val="32"/>
          <w:lang w:eastAsia="zh-CN"/>
        </w:rPr>
        <w:t>、质监站、</w:t>
      </w:r>
      <w:r>
        <w:rPr>
          <w:rFonts w:hint="eastAsia" w:ascii="仿宋_GB2312" w:eastAsia="仿宋_GB2312"/>
          <w:sz w:val="32"/>
          <w:szCs w:val="32"/>
        </w:rPr>
        <w:t>水运事务中心</w:t>
      </w:r>
      <w:r>
        <w:rPr>
          <w:rFonts w:hint="eastAsia" w:ascii="仿宋_GB2312" w:eastAsia="仿宋_GB2312"/>
          <w:sz w:val="32"/>
          <w:szCs w:val="32"/>
          <w:lang w:eastAsia="zh-CN"/>
        </w:rPr>
        <w:t>、</w:t>
      </w:r>
      <w:r>
        <w:rPr>
          <w:rFonts w:hint="eastAsia" w:ascii="仿宋_GB2312" w:eastAsia="仿宋_GB2312"/>
          <w:sz w:val="32"/>
          <w:szCs w:val="32"/>
        </w:rPr>
        <w:t>道路运输服务中心。</w:t>
      </w:r>
    </w:p>
    <w:p>
      <w:pPr>
        <w:numPr>
          <w:ilvl w:val="0"/>
          <w:numId w:val="2"/>
        </w:numPr>
        <w:spacing w:line="570" w:lineRule="exact"/>
        <w:ind w:firstLine="640" w:firstLineChars="200"/>
        <w:rPr>
          <w:rFonts w:hint="eastAsia" w:eastAsia="仿宋_GB2312"/>
          <w:color w:val="000000"/>
          <w:sz w:val="32"/>
          <w:szCs w:val="32"/>
        </w:rPr>
      </w:pPr>
      <w:r>
        <w:rPr>
          <w:rFonts w:hint="eastAsia" w:ascii="仿宋_GB2312" w:eastAsia="仿宋_GB2312"/>
          <w:sz w:val="32"/>
          <w:szCs w:val="32"/>
        </w:rPr>
        <w:t>部门（单位）整体支出规模</w:t>
      </w:r>
      <w:r>
        <w:rPr>
          <w:rFonts w:hint="eastAsia" w:ascii="仿宋_GB2312" w:hAnsi="仿宋_GB2312" w:eastAsia="仿宋_GB2312" w:cs="仿宋_GB2312"/>
          <w:sz w:val="32"/>
          <w:szCs w:val="32"/>
        </w:rPr>
        <w:t>，</w:t>
      </w:r>
      <w:r>
        <w:rPr>
          <w:rFonts w:hint="eastAsia" w:eastAsia="仿宋_GB2312"/>
          <w:color w:val="000000"/>
          <w:sz w:val="32"/>
          <w:szCs w:val="32"/>
        </w:rPr>
        <w:t>包括但不限于部门整体支出情况、部门预算收支决算情况及“三公经费”支出使用和管理情况。</w:t>
      </w:r>
    </w:p>
    <w:p>
      <w:pPr>
        <w:numPr>
          <w:ilvl w:val="0"/>
          <w:numId w:val="0"/>
        </w:numPr>
        <w:spacing w:line="570" w:lineRule="exact"/>
        <w:ind w:firstLine="640" w:firstLineChars="200"/>
        <w:rPr>
          <w:rFonts w:hint="eastAsia" w:eastAsia="仿宋_GB2312"/>
          <w:color w:val="000000"/>
          <w:sz w:val="32"/>
          <w:szCs w:val="32"/>
        </w:rPr>
      </w:pPr>
      <w:r>
        <w:rPr>
          <w:rFonts w:hint="eastAsia" w:eastAsia="仿宋_GB2312"/>
          <w:color w:val="000000"/>
          <w:sz w:val="32"/>
          <w:szCs w:val="32"/>
        </w:rPr>
        <w:t>2025年度部门整体收入合计8699.54万元，全部为一般公共预算财政拨款收入；整体支出合计8699.54万元，其中基本支出1360.62万元，占总支出的15.64%；项目支出7338.92万元，占总支出的84.36%。年初结转和结余0万元，年末结转和结余0.00万元（报表尾数差异0.11元）。</w:t>
      </w:r>
    </w:p>
    <w:p>
      <w:pPr>
        <w:numPr>
          <w:ilvl w:val="0"/>
          <w:numId w:val="0"/>
        </w:numPr>
        <w:spacing w:line="570" w:lineRule="exact"/>
        <w:ind w:firstLine="640" w:firstLineChars="200"/>
        <w:rPr>
          <w:rFonts w:hint="eastAsia" w:eastAsia="仿宋_GB2312"/>
          <w:color w:val="000000"/>
          <w:sz w:val="32"/>
          <w:szCs w:val="32"/>
        </w:rPr>
      </w:pPr>
      <w:r>
        <w:rPr>
          <w:rFonts w:hint="eastAsia" w:eastAsia="仿宋_GB2312"/>
          <w:color w:val="000000"/>
          <w:sz w:val="32"/>
          <w:szCs w:val="32"/>
        </w:rPr>
        <w:t>“三公”经费财政拨款支出预算</w:t>
      </w:r>
      <w:r>
        <w:rPr>
          <w:rFonts w:hint="eastAsia" w:eastAsia="仿宋_GB2312"/>
          <w:color w:val="000000"/>
          <w:sz w:val="32"/>
          <w:szCs w:val="32"/>
          <w:lang w:val="en-US" w:eastAsia="zh-CN"/>
        </w:rPr>
        <w:t>2.54</w:t>
      </w:r>
      <w:r>
        <w:rPr>
          <w:rFonts w:hint="eastAsia" w:eastAsia="仿宋_GB2312"/>
          <w:color w:val="000000"/>
          <w:sz w:val="32"/>
          <w:szCs w:val="32"/>
        </w:rPr>
        <w:t>万元，决算</w:t>
      </w:r>
      <w:r>
        <w:rPr>
          <w:rFonts w:hint="eastAsia" w:eastAsia="仿宋_GB2312"/>
          <w:color w:val="000000"/>
          <w:sz w:val="32"/>
          <w:szCs w:val="32"/>
          <w:lang w:val="en-US" w:eastAsia="zh-CN"/>
        </w:rPr>
        <w:t>2.54</w:t>
      </w:r>
      <w:r>
        <w:rPr>
          <w:rFonts w:hint="eastAsia" w:eastAsia="仿宋_GB2312"/>
          <w:color w:val="000000"/>
          <w:sz w:val="32"/>
          <w:szCs w:val="32"/>
        </w:rPr>
        <w:t>万元，预算执行率100%</w:t>
      </w:r>
      <w:r>
        <w:rPr>
          <w:rFonts w:hint="eastAsia" w:eastAsia="仿宋_GB2312"/>
          <w:color w:val="000000"/>
          <w:sz w:val="32"/>
          <w:szCs w:val="32"/>
          <w:lang w:eastAsia="zh-CN"/>
        </w:rPr>
        <w:t>。</w:t>
      </w:r>
      <w:r>
        <w:rPr>
          <w:rFonts w:hint="eastAsia" w:eastAsia="仿宋_GB2312"/>
          <w:color w:val="000000"/>
          <w:sz w:val="32"/>
          <w:szCs w:val="32"/>
        </w:rPr>
        <w:t>全部为公务用车运行维护费</w:t>
      </w:r>
      <w:r>
        <w:rPr>
          <w:rFonts w:hint="eastAsia" w:eastAsia="仿宋_GB2312"/>
          <w:color w:val="000000"/>
          <w:sz w:val="32"/>
          <w:szCs w:val="32"/>
          <w:lang w:eastAsia="zh-CN"/>
        </w:rPr>
        <w:t>，</w:t>
      </w:r>
      <w:r>
        <w:rPr>
          <w:rFonts w:hint="eastAsia" w:ascii="Times New Roman" w:hAnsi="Times New Roman" w:eastAsia="仿宋_GB2312" w:cs="Times New Roman"/>
          <w:sz w:val="32"/>
          <w:szCs w:val="32"/>
        </w:rPr>
        <w:t>主要是公务用车燃油</w:t>
      </w:r>
      <w:r>
        <w:rPr>
          <w:rFonts w:hint="eastAsia" w:ascii="Times New Roman" w:hAnsi="Times New Roman" w:eastAsia="仿宋_GB2312" w:cs="Times New Roman"/>
          <w:sz w:val="32"/>
          <w:szCs w:val="32"/>
          <w:lang w:eastAsia="zh-CN"/>
        </w:rPr>
        <w:t>费</w:t>
      </w:r>
      <w:r>
        <w:rPr>
          <w:rFonts w:hint="eastAsia" w:eastAsia="仿宋_GB2312"/>
          <w:color w:val="000000"/>
          <w:sz w:val="32"/>
          <w:szCs w:val="32"/>
          <w:lang w:eastAsia="zh-CN"/>
        </w:rPr>
        <w:t>，</w:t>
      </w:r>
      <w:r>
        <w:rPr>
          <w:rFonts w:hint="eastAsia" w:eastAsia="仿宋_GB2312"/>
          <w:color w:val="000000"/>
          <w:sz w:val="32"/>
          <w:szCs w:val="32"/>
        </w:rPr>
        <w:t>无因公出国（境）费、公务用车购置费及公务接待费支出。“三公”经费严格执行预算管理，严控支出规模，落实过紧日子要求，支出规范合规。</w:t>
      </w:r>
    </w:p>
    <w:p>
      <w:pPr>
        <w:pStyle w:val="4"/>
        <w:spacing w:line="57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pPr>
        <w:pStyle w:val="4"/>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（一）基本支出情况</w:t>
      </w:r>
    </w:p>
    <w:p>
      <w:pPr>
        <w:pStyle w:val="4"/>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2025年度一般公共预算基本支出1360.62万元，全部为财政拨款安排，主要用于保障单位正常运转、完成日常工作任务。</w:t>
      </w:r>
    </w:p>
    <w:p>
      <w:pPr>
        <w:pStyle w:val="4"/>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其中人员经费1066.97万元，占基本支出的78.42%，主要包括基本工资、津贴补贴、奖金、伙食补助费、绩效工资、机关事业单位基本养老保险缴费、职业年金缴费、职工基本医疗保险缴费、公务员医疗补助缴费、其他社会保障缴费、住房公积金、其他工资福利支出，以及抚恤金、个人农业生产补贴等，保障了干部职工工资福利及各项待遇落实。</w:t>
      </w:r>
    </w:p>
    <w:p>
      <w:pPr>
        <w:pStyle w:val="4"/>
        <w:spacing w:line="570" w:lineRule="exact"/>
        <w:ind w:firstLine="640"/>
        <w:rPr>
          <w:rFonts w:ascii="Times New Roman" w:hAnsi="Times New Roman" w:eastAsia="仿宋_GB2312"/>
          <w:sz w:val="32"/>
          <w:szCs w:val="32"/>
        </w:rPr>
      </w:pPr>
      <w:r>
        <w:rPr>
          <w:rFonts w:hint="eastAsia" w:ascii="Times New Roman" w:hAnsi="Times New Roman" w:eastAsia="仿宋_GB2312"/>
          <w:sz w:val="32"/>
          <w:szCs w:val="32"/>
        </w:rPr>
        <w:t>公用经费293.65万元，占基本支出的21.58%，主要包括办公费、印刷费、手续费、水费、电费、邮电费、物业管理费</w:t>
      </w:r>
      <w:r>
        <w:rPr>
          <w:rFonts w:hint="eastAsia" w:ascii="Times New Roman" w:hAnsi="Times New Roman" w:eastAsia="仿宋_GB2312"/>
          <w:sz w:val="32"/>
          <w:szCs w:val="32"/>
          <w:lang w:eastAsia="zh-CN"/>
        </w:rPr>
        <w:t>（报刊费）</w:t>
      </w:r>
      <w:r>
        <w:rPr>
          <w:rFonts w:hint="eastAsia" w:ascii="Times New Roman" w:hAnsi="Times New Roman" w:eastAsia="仿宋_GB2312"/>
          <w:sz w:val="32"/>
          <w:szCs w:val="32"/>
        </w:rPr>
        <w:t>、差旅费、维修（护）费、租赁费、培训费、劳务费、委托业务费、工会经费、公务用车运行维护费、其他交通费用、其他商品和服务支出等，保障了机关日常办公、执法执勤、业务开展等运转需求。</w:t>
      </w:r>
    </w:p>
    <w:p>
      <w:pPr>
        <w:pStyle w:val="4"/>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（二）项目支出情况</w:t>
      </w:r>
    </w:p>
    <w:p>
      <w:pPr>
        <w:pStyle w:val="4"/>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2025</w:t>
      </w:r>
      <w:bookmarkStart w:id="0" w:name="_GoBack"/>
      <w:bookmarkEnd w:id="0"/>
      <w:r>
        <w:rPr>
          <w:rFonts w:hint="eastAsia" w:ascii="Times New Roman" w:hAnsi="Times New Roman" w:eastAsia="仿宋_GB2312"/>
          <w:sz w:val="32"/>
          <w:szCs w:val="32"/>
        </w:rPr>
        <w:t>年度一般公共预算项目支出7338.92万元，全部为财政拨款安排，主要用于完成特定交通运输工作任务和事业发展目标，具体如下：</w:t>
      </w:r>
    </w:p>
    <w:p>
      <w:pPr>
        <w:pStyle w:val="4"/>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公路建设项目：支出4460.38万元，占项目支出的60.78%，主要用于全县公路新建、改扩建工程</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农村公路</w:t>
      </w:r>
      <w:r>
        <w:rPr>
          <w:rFonts w:hint="eastAsia" w:ascii="Times New Roman" w:hAnsi="Times New Roman" w:eastAsia="仿宋_GB2312"/>
          <w:sz w:val="32"/>
          <w:szCs w:val="32"/>
          <w:lang w:eastAsia="zh-CN"/>
        </w:rPr>
        <w:t>安防</w:t>
      </w:r>
      <w:r>
        <w:rPr>
          <w:rFonts w:hint="eastAsia" w:ascii="Times New Roman" w:hAnsi="Times New Roman" w:eastAsia="仿宋_GB2312"/>
          <w:sz w:val="32"/>
          <w:szCs w:val="32"/>
        </w:rPr>
        <w:t>提质改造</w:t>
      </w:r>
      <w:r>
        <w:rPr>
          <w:rFonts w:hint="eastAsia" w:ascii="Times New Roman" w:hAnsi="Times New Roman" w:eastAsia="仿宋_GB2312"/>
          <w:sz w:val="32"/>
          <w:szCs w:val="32"/>
          <w:lang w:eastAsia="zh-CN"/>
        </w:rPr>
        <w:t>以及危桥改造，</w:t>
      </w:r>
      <w:r>
        <w:rPr>
          <w:rFonts w:hint="eastAsia" w:ascii="Times New Roman" w:hAnsi="Times New Roman" w:eastAsia="仿宋_GB2312"/>
          <w:sz w:val="32"/>
          <w:szCs w:val="32"/>
        </w:rPr>
        <w:t>完善县域公路网络，提升公路通行能力和服务水平。</w:t>
      </w:r>
    </w:p>
    <w:p>
      <w:pPr>
        <w:pStyle w:val="4"/>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公路养护项目：支出2233.96万元，占项目支出的30.44%，主要用于全县公路日常养护、大中修工程、水毁修复及路政管理，保障公路安全畅通，提升公路养护质量。</w:t>
      </w:r>
    </w:p>
    <w:p>
      <w:pPr>
        <w:pStyle w:val="4"/>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水路运输管理项目：支出644.58万元，占项目支出的8.78%，主要用于水路运输行业监管、水上交通安全巡查、</w:t>
      </w:r>
      <w:r>
        <w:rPr>
          <w:rFonts w:hint="eastAsia" w:ascii="Times New Roman" w:hAnsi="Times New Roman" w:eastAsia="仿宋_GB2312"/>
          <w:sz w:val="32"/>
          <w:szCs w:val="32"/>
          <w:lang w:eastAsia="zh-CN"/>
        </w:rPr>
        <w:t>渡口</w:t>
      </w:r>
      <w:r>
        <w:rPr>
          <w:rFonts w:hint="eastAsia" w:ascii="Times New Roman" w:hAnsi="Times New Roman" w:eastAsia="仿宋_GB2312"/>
          <w:sz w:val="32"/>
          <w:szCs w:val="32"/>
        </w:rPr>
        <w:t>码头维护管理、执法装备保障等，保障水路运输安全有序发展。</w:t>
      </w:r>
    </w:p>
    <w:p>
      <w:pPr>
        <w:numPr>
          <w:ilvl w:val="0"/>
          <w:numId w:val="0"/>
        </w:numPr>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其中项目具体情况如下：</w:t>
      </w:r>
    </w:p>
    <w:p>
      <w:pPr>
        <w:numPr>
          <w:ilvl w:val="0"/>
          <w:numId w:val="0"/>
        </w:numPr>
        <w:ind w:firstLine="643" w:firstLineChars="200"/>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农村公路建设</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2025年农村公路省市考核目标28.4公里，目前累计完成52.289公里，投入资金2996.59万元占考核目标的184%。其中计划内完成道县CAS4营乐源至大江源公路、桥头镇白竹田村至汉冲陵村连通路、清塘镇洪家宅村产业路等20条农村公路43.755公里，投入资金2578.48万元；计划外完成 S347-沙仂江提质改造、桥头镇狮子山村仙人掌自然村道路建设等14条农村公路8.534公里，投入资金418.11万元。</w:t>
      </w:r>
    </w:p>
    <w:p>
      <w:pPr>
        <w:ind w:firstLine="643"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危桥改造。</w:t>
      </w:r>
      <w:r>
        <w:rPr>
          <w:rFonts w:hint="default" w:ascii="Times New Roman" w:hAnsi="Times New Roman" w:eastAsia="仿宋_GB2312" w:cs="Times New Roman"/>
          <w:sz w:val="32"/>
          <w:szCs w:val="32"/>
          <w:lang w:val="en-US" w:eastAsia="zh-CN"/>
        </w:rPr>
        <w:t>2025年危桥改造省市考核目标7座，目前累计完成危桥改造共13座，投入资金1293.39万元，占考核目标的185%。其中计划内完成桃子岭桥、东洲山桥、三十工二桥、浪石小桥、砂子河等桥梁8座，投入资金1032.3万元；计划外完成李家桥、东山一桥、杜莲小桥等桥梁5座，投入资金261.09万元。</w:t>
      </w:r>
    </w:p>
    <w:p>
      <w:pPr>
        <w:ind w:firstLine="643"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农村公路养护。</w:t>
      </w:r>
      <w:r>
        <w:rPr>
          <w:rFonts w:hint="default" w:ascii="Times New Roman" w:hAnsi="Times New Roman" w:eastAsia="仿宋_GB2312" w:cs="Times New Roman"/>
          <w:sz w:val="32"/>
          <w:szCs w:val="32"/>
          <w:lang w:val="en-US" w:eastAsia="zh-CN"/>
        </w:rPr>
        <w:t>2025年投入资金1500万元，累计完成Y302楼月线、Y288天新线、C402塘婆线等35条农村公路线路修复性养护107.028公里，完成X085大蒋线、X095四常线等6条农村公路预防性养护78.576公里；累计完成590公里道路路肩整修、路面清扫等日常养护。</w:t>
      </w:r>
    </w:p>
    <w:p>
      <w:pPr>
        <w:numPr>
          <w:ilvl w:val="0"/>
          <w:numId w:val="0"/>
        </w:numPr>
        <w:ind w:firstLine="643" w:firstLineChars="200"/>
        <w:jc w:val="left"/>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b/>
          <w:bCs/>
          <w:sz w:val="32"/>
          <w:szCs w:val="32"/>
          <w:lang w:val="en-US" w:eastAsia="zh-CN"/>
        </w:rPr>
        <w:t>安防工程。</w:t>
      </w:r>
      <w:r>
        <w:rPr>
          <w:rFonts w:hint="default" w:ascii="Times New Roman" w:hAnsi="Times New Roman" w:eastAsia="仿宋_GB2312" w:cs="Times New Roman"/>
          <w:sz w:val="32"/>
          <w:szCs w:val="32"/>
          <w:lang w:val="en-US" w:eastAsia="zh-CN"/>
        </w:rPr>
        <w:t>2025年农村公路安防完成23个项目，完成投资483.03万元，其中，道县2024年第三批公路安全生命防护工程完成投资336.19万元，道县寿雁镇空树岩村安全隐患处置工程完成投资45.6万元，道县横岭乡天鹅岭安全隐患处置工程完成投资15.91万元等。</w:t>
      </w:r>
    </w:p>
    <w:p>
      <w:pPr>
        <w:numPr>
          <w:ilvl w:val="0"/>
          <w:numId w:val="0"/>
        </w:numPr>
        <w:ind w:firstLine="643"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干线公路养护。</w:t>
      </w:r>
      <w:r>
        <w:rPr>
          <w:rFonts w:hint="default" w:ascii="Times New Roman" w:hAnsi="Times New Roman" w:eastAsia="仿宋_GB2312" w:cs="Times New Roman"/>
          <w:sz w:val="32"/>
          <w:szCs w:val="32"/>
          <w:lang w:val="en-US" w:eastAsia="zh-CN"/>
        </w:rPr>
        <w:t>G357大修工程（1116.552-1117.701）全长1.149公里，投入资金607万元，完成24米旧路面冷再生，并加铺沥青混凝土面层；正在实施G357路面改善（1111.921-1116.552）全长4.631公里，投入资金898万元，完成路基加宽及老路面碎石化，正在实施挡土墙、加宽路基级配碎石垫层。</w:t>
      </w:r>
    </w:p>
    <w:p>
      <w:pPr>
        <w:pStyle w:val="4"/>
        <w:spacing w:line="570" w:lineRule="exact"/>
        <w:ind w:left="0" w:leftChars="0" w:firstLine="640" w:firstLineChars="200"/>
        <w:rPr>
          <w:rFonts w:hint="eastAsia" w:ascii="Times New Roman" w:hAnsi="Times New Roman" w:eastAsia="黑体"/>
          <w:sz w:val="32"/>
          <w:szCs w:val="32"/>
        </w:rPr>
      </w:pPr>
      <w:r>
        <w:rPr>
          <w:rFonts w:ascii="Times New Roman" w:hAnsi="Times New Roman" w:eastAsia="黑体"/>
          <w:sz w:val="32"/>
          <w:szCs w:val="32"/>
        </w:rPr>
        <w:t>三、政府性基金预算支出情况</w:t>
      </w:r>
      <w:r>
        <w:rPr>
          <w:rFonts w:hint="eastAsia" w:ascii="Times New Roman" w:hAnsi="Times New Roman" w:eastAsia="黑体"/>
          <w:sz w:val="32"/>
          <w:szCs w:val="32"/>
        </w:rPr>
        <w:t>。</w:t>
      </w:r>
    </w:p>
    <w:p>
      <w:pPr>
        <w:pStyle w:val="4"/>
        <w:spacing w:line="570" w:lineRule="exact"/>
        <w:ind w:firstLine="640"/>
        <w:rPr>
          <w:rFonts w:hint="eastAsia" w:ascii="Times New Roman" w:hAnsi="Times New Roman" w:eastAsia="仿宋_GB2312"/>
          <w:color w:val="000000"/>
          <w:sz w:val="32"/>
          <w:szCs w:val="32"/>
          <w:lang w:eastAsia="zh-CN"/>
        </w:rPr>
      </w:pPr>
      <w:r>
        <w:rPr>
          <w:rFonts w:hint="eastAsia" w:ascii="Times New Roman" w:hAnsi="Times New Roman" w:eastAsia="仿宋_GB2312"/>
          <w:color w:val="000000"/>
          <w:sz w:val="32"/>
          <w:szCs w:val="32"/>
        </w:rPr>
        <w:t>“我单位无政府性基金预算支出情况</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w:t>
      </w:r>
    </w:p>
    <w:p>
      <w:pPr>
        <w:pStyle w:val="4"/>
        <w:numPr>
          <w:ilvl w:val="0"/>
          <w:numId w:val="3"/>
        </w:numPr>
        <w:spacing w:line="570" w:lineRule="exact"/>
        <w:ind w:firstLine="640"/>
        <w:rPr>
          <w:rFonts w:hint="eastAsia" w:ascii="Times New Roman" w:hAnsi="Times New Roman" w:eastAsia="黑体"/>
          <w:sz w:val="32"/>
          <w:szCs w:val="32"/>
        </w:rPr>
      </w:pPr>
      <w:r>
        <w:rPr>
          <w:rFonts w:ascii="Times New Roman" w:hAnsi="Times New Roman" w:eastAsia="黑体"/>
          <w:sz w:val="32"/>
          <w:szCs w:val="32"/>
        </w:rPr>
        <w:t>国有资本经营预算支出情况</w:t>
      </w:r>
      <w:r>
        <w:rPr>
          <w:rFonts w:hint="eastAsia" w:ascii="Times New Roman" w:hAnsi="Times New Roman" w:eastAsia="黑体"/>
          <w:sz w:val="32"/>
          <w:szCs w:val="32"/>
        </w:rPr>
        <w:t>。</w:t>
      </w:r>
    </w:p>
    <w:p>
      <w:pPr>
        <w:pStyle w:val="4"/>
        <w:numPr>
          <w:ilvl w:val="0"/>
          <w:numId w:val="0"/>
        </w:numPr>
        <w:spacing w:line="57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color w:val="000000"/>
          <w:sz w:val="32"/>
          <w:szCs w:val="32"/>
        </w:rPr>
        <w:t>“我单位无国有资本经营预算支出情况</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w:t>
      </w:r>
    </w:p>
    <w:p>
      <w:pPr>
        <w:pStyle w:val="4"/>
        <w:numPr>
          <w:ilvl w:val="0"/>
          <w:numId w:val="3"/>
        </w:numPr>
        <w:spacing w:line="570" w:lineRule="exact"/>
        <w:ind w:left="0" w:leftChars="0" w:firstLine="640" w:firstLineChars="200"/>
        <w:rPr>
          <w:rFonts w:hint="eastAsia" w:ascii="Times New Roman" w:hAnsi="Times New Roman" w:eastAsia="黑体"/>
          <w:sz w:val="32"/>
          <w:szCs w:val="32"/>
        </w:rPr>
      </w:pP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pPr>
        <w:pStyle w:val="4"/>
        <w:numPr>
          <w:ilvl w:val="0"/>
          <w:numId w:val="0"/>
        </w:numPr>
        <w:spacing w:line="57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color w:val="000000"/>
          <w:sz w:val="32"/>
          <w:szCs w:val="32"/>
        </w:rPr>
        <w:t>“我单位无社会保险基金预算支出情况</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w:t>
      </w:r>
    </w:p>
    <w:p>
      <w:pPr>
        <w:spacing w:line="570" w:lineRule="exact"/>
        <w:ind w:firstLine="640" w:firstLineChars="200"/>
        <w:rPr>
          <w:rFonts w:eastAsia="黑体"/>
          <w:sz w:val="32"/>
          <w:szCs w:val="32"/>
        </w:rPr>
      </w:pPr>
      <w:r>
        <w:rPr>
          <w:rFonts w:eastAsia="黑体"/>
          <w:sz w:val="32"/>
          <w:szCs w:val="32"/>
        </w:rPr>
        <w:t>六、部门整体支出绩效情况</w:t>
      </w:r>
    </w:p>
    <w:p>
      <w:pPr>
        <w:spacing w:line="570" w:lineRule="exact"/>
        <w:ind w:firstLine="640" w:firstLineChars="200"/>
        <w:rPr>
          <w:rFonts w:hint="eastAsia" w:eastAsia="仿宋_GB2312"/>
          <w:color w:val="000000"/>
          <w:sz w:val="32"/>
          <w:szCs w:val="32"/>
        </w:rPr>
      </w:pPr>
      <w:r>
        <w:rPr>
          <w:rFonts w:hint="eastAsia" w:eastAsia="仿宋_GB2312"/>
          <w:color w:val="000000"/>
          <w:sz w:val="32"/>
          <w:szCs w:val="32"/>
        </w:rPr>
        <w:t> 运行成本方面：严格落实党政机关过紧日子要求，从严控制一般性支出，</w:t>
      </w:r>
      <w:r>
        <w:rPr>
          <w:rFonts w:hint="eastAsia" w:eastAsia="仿宋_GB2312"/>
          <w:color w:val="000000"/>
          <w:sz w:val="32"/>
          <w:szCs w:val="32"/>
          <w:lang w:eastAsia="zh-CN"/>
        </w:rPr>
        <w:t>无</w:t>
      </w:r>
      <w:r>
        <w:rPr>
          <w:rFonts w:hint="eastAsia" w:eastAsia="仿宋_GB2312"/>
          <w:color w:val="000000"/>
          <w:sz w:val="32"/>
          <w:szCs w:val="32"/>
        </w:rPr>
        <w:t>“三公”经费</w:t>
      </w:r>
      <w:r>
        <w:rPr>
          <w:rFonts w:hint="eastAsia" w:eastAsia="仿宋_GB2312"/>
          <w:color w:val="000000"/>
          <w:sz w:val="32"/>
          <w:szCs w:val="32"/>
          <w:lang w:eastAsia="zh-CN"/>
        </w:rPr>
        <w:t>支出</w:t>
      </w:r>
      <w:r>
        <w:rPr>
          <w:rFonts w:hint="eastAsia" w:eastAsia="仿宋_GB2312"/>
          <w:color w:val="000000"/>
          <w:sz w:val="32"/>
          <w:szCs w:val="32"/>
        </w:rPr>
        <w:t>，公用经费结构不断优化，机关运行成本控制合理，财政资金使用效率稳步提升。</w:t>
      </w:r>
    </w:p>
    <w:p>
      <w:pPr>
        <w:spacing w:line="570" w:lineRule="exact"/>
        <w:ind w:firstLine="640" w:firstLineChars="200"/>
        <w:rPr>
          <w:rFonts w:hint="eastAsia" w:eastAsia="仿宋_GB2312"/>
          <w:color w:val="000000"/>
          <w:sz w:val="32"/>
          <w:szCs w:val="32"/>
        </w:rPr>
      </w:pPr>
      <w:r>
        <w:rPr>
          <w:rFonts w:hint="eastAsia" w:eastAsia="仿宋_GB2312"/>
          <w:color w:val="000000"/>
          <w:sz w:val="32"/>
          <w:szCs w:val="32"/>
        </w:rPr>
        <w:t>管理效率方面：不断完善财务管理制度，规范预算编制、执行、决算全流程管理，强化政府采购、国有资产监管，内部管理规范有序；建立健全项目资金管理制度，资金拨付、使用全程监管，行政效能和资金管理水平不断提升。</w:t>
      </w:r>
    </w:p>
    <w:p>
      <w:pPr>
        <w:spacing w:line="570" w:lineRule="exact"/>
        <w:ind w:firstLine="640" w:firstLineChars="200"/>
        <w:rPr>
          <w:rFonts w:hint="eastAsia" w:eastAsia="仿宋_GB2312"/>
          <w:color w:val="000000"/>
          <w:sz w:val="32"/>
          <w:szCs w:val="32"/>
        </w:rPr>
      </w:pPr>
      <w:r>
        <w:rPr>
          <w:rFonts w:hint="eastAsia" w:eastAsia="仿宋_GB2312"/>
          <w:color w:val="000000"/>
          <w:sz w:val="32"/>
          <w:szCs w:val="32"/>
        </w:rPr>
        <w:t>履职效能方面：公路建设稳步推进，县域公路网络不断完善，群众出行条件持续改善；公路养护常态化开展，及时处置公路病害，公路优良路率保持稳定，安全保障能力不断增强；水路运输监管规范有序，常态化开展水上安全巡查，排查整治安全隐患，全年未发生水上交通安全责任事故；</w:t>
      </w:r>
      <w:r>
        <w:rPr>
          <w:rFonts w:hint="eastAsia" w:eastAsia="仿宋_GB2312"/>
          <w:color w:val="000000"/>
          <w:sz w:val="32"/>
          <w:szCs w:val="32"/>
          <w:lang w:eastAsia="zh-CN"/>
        </w:rPr>
        <w:t>常态化开展交通运输综合行政执法，</w:t>
      </w:r>
      <w:r>
        <w:rPr>
          <w:rFonts w:hint="eastAsia" w:eastAsia="仿宋_GB2312"/>
          <w:color w:val="000000"/>
          <w:sz w:val="32"/>
          <w:szCs w:val="32"/>
        </w:rPr>
        <w:t>行业监管持续加强，运输市场秩序不断规范，政务服务水平持续提升。</w:t>
      </w:r>
    </w:p>
    <w:p>
      <w:pPr>
        <w:spacing w:line="570" w:lineRule="exact"/>
        <w:ind w:firstLine="640" w:firstLineChars="200"/>
        <w:rPr>
          <w:rFonts w:hint="eastAsia" w:eastAsia="仿宋_GB2312"/>
          <w:color w:val="000000"/>
          <w:sz w:val="32"/>
          <w:szCs w:val="32"/>
          <w:lang w:eastAsia="zh-CN"/>
        </w:rPr>
      </w:pPr>
      <w:r>
        <w:rPr>
          <w:rFonts w:hint="eastAsia" w:eastAsia="仿宋_GB2312"/>
          <w:color w:val="000000"/>
          <w:sz w:val="32"/>
          <w:szCs w:val="32"/>
          <w:lang w:eastAsia="zh-CN"/>
        </w:rPr>
        <w:t>成果效益</w:t>
      </w:r>
      <w:r>
        <w:rPr>
          <w:rFonts w:hint="eastAsia" w:eastAsia="仿宋_GB2312"/>
          <w:color w:val="000000"/>
          <w:sz w:val="32"/>
          <w:szCs w:val="32"/>
        </w:rPr>
        <w:t>方面：交通运输基础设施不断完善，公路通达深度和服务水平稳步提升，有效支撑了乡村振兴、产业发展等全县重点工作，群众出行更加便捷安全，交通运输服务民生的作用充分彰显，社会认可度不断提高</w:t>
      </w:r>
      <w:r>
        <w:rPr>
          <w:rFonts w:hint="eastAsia" w:eastAsia="仿宋_GB2312"/>
          <w:color w:val="000000"/>
          <w:sz w:val="32"/>
          <w:szCs w:val="32"/>
          <w:lang w:eastAsia="zh-CN"/>
        </w:rPr>
        <w:t>。</w:t>
      </w:r>
    </w:p>
    <w:p>
      <w:pPr>
        <w:spacing w:line="570" w:lineRule="exact"/>
        <w:ind w:firstLine="640" w:firstLineChars="200"/>
        <w:rPr>
          <w:rFonts w:hint="eastAsia" w:eastAsia="仿宋_GB2312"/>
          <w:color w:val="000000"/>
          <w:sz w:val="32"/>
          <w:szCs w:val="32"/>
        </w:rPr>
      </w:pPr>
      <w:r>
        <w:rPr>
          <w:rFonts w:hint="eastAsia" w:eastAsia="仿宋_GB2312"/>
          <w:color w:val="000000"/>
          <w:sz w:val="32"/>
          <w:szCs w:val="32"/>
        </w:rPr>
        <w:t xml:space="preserve">从经济效益评价，干线公路、农村公路、安保工程、危桥改造工程的实施将显著改善我县农村公路的交通状况和道路通行能力。这对促进当地经济发展、拉动旅游产业、调整产业结构、加快沿线及周边地区脱贫致富奔小康步伐具有重大意义。  </w:t>
      </w:r>
    </w:p>
    <w:p>
      <w:pPr>
        <w:spacing w:line="570" w:lineRule="exact"/>
        <w:ind w:firstLine="640" w:firstLineChars="200"/>
        <w:rPr>
          <w:rFonts w:eastAsia="仿宋_GB2312"/>
          <w:color w:val="000000"/>
          <w:sz w:val="32"/>
          <w:szCs w:val="32"/>
        </w:rPr>
      </w:pPr>
      <w:r>
        <w:rPr>
          <w:rFonts w:hint="eastAsia" w:eastAsia="仿宋_GB2312"/>
          <w:color w:val="000000"/>
          <w:sz w:val="32"/>
          <w:szCs w:val="32"/>
        </w:rPr>
        <w:t>从社会效益评价，近年来，通过省市县持续投入农村公路及危桥改造资金，农村公路桥梁完好率大幅提升，原有行政村存在问题的公路桥梁基本得到加固改造，个别位于干线道路规划范围内的则提高标准并拆除重建。至2025年底，全县农村公路原有危桥改造主要任务大部分已完成，农村公路整体畅通情况良好。我县农村公路危桥改造大多属于“民生工程”考核项目，这些改造有效减少了交通事故，提高了运输效率，保障了人民生命财产安全，改善了当地交通条件，促进了生产和运输业的发展。经综合评价，较好完成预定任务。</w:t>
      </w:r>
    </w:p>
    <w:p>
      <w:pPr>
        <w:pStyle w:val="4"/>
        <w:spacing w:line="57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pPr>
        <w:spacing w:line="570" w:lineRule="exact"/>
        <w:ind w:firstLine="640" w:firstLineChars="200"/>
        <w:rPr>
          <w:rFonts w:hint="eastAsia" w:eastAsia="仿宋_GB2312"/>
          <w:sz w:val="32"/>
          <w:szCs w:val="32"/>
        </w:rPr>
      </w:pPr>
      <w:r>
        <w:rPr>
          <w:rFonts w:hint="eastAsia" w:eastAsia="仿宋_GB2312"/>
          <w:sz w:val="32"/>
          <w:szCs w:val="32"/>
        </w:rPr>
        <w:t>项目建设上，我单位在建设过程中，项目</w:t>
      </w:r>
      <w:r>
        <w:rPr>
          <w:rFonts w:hint="eastAsia" w:eastAsia="仿宋_GB2312"/>
          <w:sz w:val="32"/>
          <w:szCs w:val="32"/>
          <w:lang w:eastAsia="zh-CN"/>
        </w:rPr>
        <w:t>实行专人专项</w:t>
      </w:r>
      <w:r>
        <w:rPr>
          <w:rFonts w:hint="eastAsia" w:eastAsia="仿宋_GB2312"/>
          <w:sz w:val="32"/>
          <w:szCs w:val="32"/>
        </w:rPr>
        <w:t>管理，比如桥梁、安保、农村公路建设在前期工作上是有专人负责拟合同、负责招投标的各项事务</w:t>
      </w:r>
      <w:r>
        <w:rPr>
          <w:rFonts w:hint="eastAsia" w:eastAsia="仿宋_GB2312"/>
          <w:sz w:val="32"/>
          <w:szCs w:val="32"/>
          <w:lang w:eastAsia="zh-CN"/>
        </w:rPr>
        <w:t>。</w:t>
      </w:r>
      <w:r>
        <w:rPr>
          <w:rFonts w:hint="eastAsia" w:eastAsia="仿宋_GB2312"/>
          <w:sz w:val="32"/>
          <w:szCs w:val="32"/>
        </w:rPr>
        <w:t>在验收上，验收要有财</w:t>
      </w:r>
      <w:r>
        <w:rPr>
          <w:rFonts w:hint="eastAsia" w:eastAsia="仿宋_GB2312"/>
          <w:sz w:val="32"/>
          <w:szCs w:val="32"/>
          <w:lang w:eastAsia="zh-CN"/>
        </w:rPr>
        <w:t>务</w:t>
      </w:r>
      <w:r>
        <w:rPr>
          <w:rFonts w:hint="eastAsia" w:eastAsia="仿宋_GB2312"/>
          <w:sz w:val="32"/>
          <w:szCs w:val="32"/>
        </w:rPr>
        <w:t>、交通部门共同参与验收，招投标项目还需经过评审中心评审出具评审结论；资金管理上，我单位实施的是财政、交通共同管理，每笔资金的拨付都要通过财政部门对应股室签字认可共同支付，保证了专款专用。</w:t>
      </w:r>
    </w:p>
    <w:p>
      <w:pPr>
        <w:spacing w:line="570" w:lineRule="exact"/>
        <w:ind w:firstLine="640" w:firstLineChars="200"/>
        <w:rPr>
          <w:rFonts w:eastAsia="仿宋_GB2312"/>
          <w:sz w:val="32"/>
          <w:szCs w:val="32"/>
        </w:rPr>
      </w:pPr>
      <w:r>
        <w:rPr>
          <w:rFonts w:hint="eastAsia" w:eastAsia="仿宋_GB2312"/>
          <w:sz w:val="32"/>
          <w:szCs w:val="32"/>
        </w:rPr>
        <w:t>但也存在不少的问题，比如一旦碰到省财政厅下发的指标文件里含有交通运输局、公路局的数据，县财政不能分清楚明细时，该笔资金就存在延迟拨入项目单位的情况</w:t>
      </w:r>
      <w:r>
        <w:rPr>
          <w:rFonts w:hint="eastAsia" w:eastAsia="仿宋_GB2312"/>
          <w:sz w:val="32"/>
          <w:szCs w:val="32"/>
          <w:lang w:eastAsia="zh-CN"/>
        </w:rPr>
        <w:t>；</w:t>
      </w:r>
      <w:r>
        <w:rPr>
          <w:rFonts w:hint="eastAsia" w:eastAsia="仿宋_GB2312"/>
          <w:sz w:val="32"/>
          <w:szCs w:val="32"/>
        </w:rPr>
        <w:t>其次，施工方资料整理较慢，评审中心出具的评审结论时间较长，评审结论后还要通过县审计局审计资金，尾款拨入施工单位时间较长</w:t>
      </w:r>
      <w:r>
        <w:rPr>
          <w:rFonts w:hint="eastAsia" w:eastAsia="仿宋_GB2312"/>
          <w:sz w:val="32"/>
          <w:szCs w:val="32"/>
          <w:lang w:eastAsia="zh-CN"/>
        </w:rPr>
        <w:t>；最后，还有</w:t>
      </w:r>
      <w:r>
        <w:rPr>
          <w:rFonts w:hint="eastAsia" w:eastAsia="仿宋_GB2312"/>
          <w:sz w:val="32"/>
          <w:szCs w:val="32"/>
        </w:rPr>
        <w:t>部分交通建设项目受征地拆迁、天气条件等外部因素影响，项目实施进度存在波动，资金拨付进度与项目进度的衔接需进一步优化。原因在于交通运输项目点多线长面广，实施环节多、协调难度大，一定程度上影响了项目推进和资金拨付节奏。</w:t>
      </w:r>
    </w:p>
    <w:p>
      <w:pPr>
        <w:numPr>
          <w:ilvl w:val="0"/>
          <w:numId w:val="4"/>
        </w:numPr>
        <w:spacing w:line="570" w:lineRule="exact"/>
        <w:ind w:firstLine="640" w:firstLineChars="200"/>
        <w:rPr>
          <w:rFonts w:eastAsia="黑体"/>
          <w:sz w:val="32"/>
          <w:szCs w:val="32"/>
        </w:rPr>
      </w:pPr>
      <w:r>
        <w:rPr>
          <w:rFonts w:eastAsia="黑体"/>
          <w:sz w:val="32"/>
          <w:szCs w:val="32"/>
        </w:rPr>
        <w:t>下一步改进措施</w:t>
      </w:r>
    </w:p>
    <w:p>
      <w:pPr>
        <w:spacing w:line="570" w:lineRule="exact"/>
        <w:ind w:firstLine="640" w:firstLineChars="200"/>
        <w:rPr>
          <w:rFonts w:eastAsia="仿宋_GB2312"/>
          <w:sz w:val="32"/>
          <w:szCs w:val="32"/>
        </w:rPr>
      </w:pPr>
      <w:r>
        <w:rPr>
          <w:rFonts w:hint="eastAsia" w:eastAsia="仿宋_GB2312"/>
          <w:sz w:val="32"/>
          <w:szCs w:val="32"/>
        </w:rPr>
        <w:t>一是各部门协作配合，积极对各项数据进行划分，以确 保资金从县财政及时拨付到位；二是加强督促施工单位进行 资料的整理与报送，项目部应及时与县评审中心、县审计局 进行衔接拿到结算、审计报告，财务股根据相关文件及合同 规定支付尾款及质保金，三是增加技术人员对建设项目的技 术、质量进行指导与监管。</w:t>
      </w:r>
    </w:p>
    <w:p>
      <w:pPr>
        <w:spacing w:line="570" w:lineRule="exact"/>
        <w:ind w:firstLine="640" w:firstLineChars="200"/>
        <w:rPr>
          <w:rFonts w:hint="eastAsia" w:eastAsia="仿宋_GB2312"/>
          <w:sz w:val="32"/>
          <w:szCs w:val="32"/>
        </w:rPr>
      </w:pPr>
      <w:r>
        <w:rPr>
          <w:rFonts w:eastAsia="黑体"/>
          <w:sz w:val="32"/>
          <w:szCs w:val="32"/>
        </w:rPr>
        <w:t>九、部门整体支出绩效自评结果拟应用和公开情况</w:t>
      </w:r>
    </w:p>
    <w:p>
      <w:pPr>
        <w:spacing w:line="570" w:lineRule="exact"/>
        <w:ind w:firstLine="640" w:firstLineChars="200"/>
        <w:rPr>
          <w:rFonts w:hint="eastAsia" w:eastAsia="仿宋_GB2312"/>
          <w:sz w:val="32"/>
          <w:szCs w:val="32"/>
        </w:rPr>
      </w:pPr>
      <w:r>
        <w:rPr>
          <w:rFonts w:hint="eastAsia" w:eastAsia="仿宋_GB2312"/>
          <w:sz w:val="32"/>
          <w:szCs w:val="32"/>
        </w:rPr>
        <w:t>注重绩效评价结果的深度运用，积极探索构建预算管理与评价结果联动，持续强化绩效理念，切实提高财政资金使用效益。同时，</w:t>
      </w:r>
      <w:r>
        <w:rPr>
          <w:rFonts w:hint="eastAsia" w:eastAsia="仿宋_GB2312"/>
          <w:sz w:val="32"/>
          <w:szCs w:val="32"/>
          <w:lang w:eastAsia="zh-CN"/>
        </w:rPr>
        <w:t>拟</w:t>
      </w:r>
      <w:r>
        <w:rPr>
          <w:rFonts w:hint="eastAsia" w:eastAsia="仿宋_GB2312"/>
          <w:sz w:val="32"/>
          <w:szCs w:val="32"/>
        </w:rPr>
        <w:t>在政府门户网站公开部门整体支出绩效自评报告，主动接受社会各界监督。</w:t>
      </w:r>
    </w:p>
    <w:p>
      <w:pPr>
        <w:spacing w:line="570" w:lineRule="exact"/>
        <w:ind w:firstLine="640" w:firstLineChars="200"/>
        <w:rPr>
          <w:rFonts w:eastAsia="黑体"/>
          <w:sz w:val="32"/>
          <w:szCs w:val="32"/>
        </w:rPr>
      </w:pPr>
      <w:r>
        <w:rPr>
          <w:rFonts w:hint="eastAsia" w:eastAsia="黑体"/>
          <w:sz w:val="32"/>
          <w:szCs w:val="32"/>
        </w:rPr>
        <w:t>十、</w:t>
      </w:r>
      <w:r>
        <w:rPr>
          <w:rFonts w:eastAsia="黑体"/>
          <w:sz w:val="32"/>
          <w:szCs w:val="32"/>
        </w:rPr>
        <w:t>其他需要说明的情况</w:t>
      </w:r>
    </w:p>
    <w:p>
      <w:pPr>
        <w:ind w:firstLine="640" w:firstLineChars="200"/>
        <w:rPr>
          <w:rFonts w:hint="eastAsia" w:eastAsia="宋体"/>
          <w:lang w:eastAsia="zh-CN"/>
        </w:rPr>
      </w:pPr>
      <w:r>
        <w:rPr>
          <w:rFonts w:hint="eastAsia" w:eastAsia="仿宋_GB2312"/>
          <w:sz w:val="32"/>
          <w:szCs w:val="32"/>
          <w:lang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4A780F"/>
    <w:multiLevelType w:val="singleLevel"/>
    <w:tmpl w:val="9D4A780F"/>
    <w:lvl w:ilvl="0" w:tentative="0">
      <w:start w:val="2"/>
      <w:numFmt w:val="chineseCounting"/>
      <w:suff w:val="nothing"/>
      <w:lvlText w:val="（%1）"/>
      <w:lvlJc w:val="left"/>
      <w:rPr>
        <w:rFonts w:hint="eastAsia"/>
      </w:rPr>
    </w:lvl>
  </w:abstractNum>
  <w:abstractNum w:abstractNumId="1">
    <w:nsid w:val="B7EE8DDA"/>
    <w:multiLevelType w:val="singleLevel"/>
    <w:tmpl w:val="B7EE8DDA"/>
    <w:lvl w:ilvl="0" w:tentative="0">
      <w:start w:val="4"/>
      <w:numFmt w:val="chineseCounting"/>
      <w:suff w:val="nothing"/>
      <w:lvlText w:val="%1、"/>
      <w:lvlJc w:val="left"/>
      <w:rPr>
        <w:rFonts w:hint="eastAsia"/>
      </w:rPr>
    </w:lvl>
  </w:abstractNum>
  <w:abstractNum w:abstractNumId="2">
    <w:nsid w:val="37A707DA"/>
    <w:multiLevelType w:val="singleLevel"/>
    <w:tmpl w:val="37A707DA"/>
    <w:lvl w:ilvl="0" w:tentative="0">
      <w:start w:val="1"/>
      <w:numFmt w:val="chineseCounting"/>
      <w:suff w:val="nothing"/>
      <w:lvlText w:val="%1、"/>
      <w:lvlJc w:val="left"/>
      <w:rPr>
        <w:rFonts w:hint="eastAsia"/>
      </w:rPr>
    </w:lvl>
  </w:abstractNum>
  <w:abstractNum w:abstractNumId="3">
    <w:nsid w:val="75F1F142"/>
    <w:multiLevelType w:val="singleLevel"/>
    <w:tmpl w:val="75F1F142"/>
    <w:lvl w:ilvl="0" w:tentative="0">
      <w:start w:val="8"/>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000000"/>
    <w:rsid w:val="0B782962"/>
    <w:rsid w:val="153C5596"/>
    <w:rsid w:val="337F32D7"/>
    <w:rsid w:val="377F9F18"/>
    <w:rsid w:val="37BF19FD"/>
    <w:rsid w:val="3EBEEC55"/>
    <w:rsid w:val="56FB7E38"/>
    <w:rsid w:val="57FF9004"/>
    <w:rsid w:val="5FBE8766"/>
    <w:rsid w:val="6FE7199F"/>
    <w:rsid w:val="6FEF5D6D"/>
    <w:rsid w:val="7EF56DCE"/>
    <w:rsid w:val="7FFDC760"/>
    <w:rsid w:val="9CD9E56D"/>
    <w:rsid w:val="DDBF62AE"/>
    <w:rsid w:val="DF9B8A66"/>
    <w:rsid w:val="E23B2CB9"/>
    <w:rsid w:val="EE7DF4D7"/>
    <w:rsid w:val="EF375EB3"/>
    <w:rsid w:val="EF3FC40E"/>
    <w:rsid w:val="F74F21C8"/>
    <w:rsid w:val="F9DFA899"/>
    <w:rsid w:val="F9F531CE"/>
    <w:rsid w:val="FC93B3DD"/>
    <w:rsid w:val="FF6A08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99"/>
    <w:pPr>
      <w:ind w:firstLine="420" w:firstLineChars="200"/>
    </w:pPr>
    <w:rPr>
      <w:rFonts w:ascii="Calibri" w:hAnsi="Calibri"/>
      <w:kern w:val="0"/>
      <w:sz w:val="28"/>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3519</Words>
  <Characters>3835</Characters>
  <Lines>0</Lines>
  <Paragraphs>0</Paragraphs>
  <TotalTime>55</TotalTime>
  <ScaleCrop>false</ScaleCrop>
  <LinksUpToDate>false</LinksUpToDate>
  <CharactersWithSpaces>3857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2026-03-13T23:17:00Z</dcterms:created>
  <dc:creator>29448</dc:creator>
  <cp:lastModifiedBy>水蜜桃</cp:lastModifiedBy>
  <dcterms:modified xsi:type="dcterms:W3CDTF">2026-09-11T02:30:20Z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TemplateDocerSaveRecord">
    <vt:lpwstr>eyJoZGlkIjoiNTJjYmFjYTI5NGJmMjhmMTk1NzYwNzRkMTBjNTQwZjUiLCJ1c2VySWQiOiI4NDM4OTQxODQifQ==</vt:lpwstr>
  </property>
  <property fmtid="{D5CDD505-2E9C-101B-9397-08002B2CF9AE}" pid="4" name="ICV">
    <vt:lpwstr>F6689A9127A5F0A3DA37966AA50DEC60_43</vt:lpwstr>
  </property>
</Properties>
</file>