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道县森林公安局</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道县森林公安局</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道县森林公安局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全县范围内的森林治安、刑事案件查处，负责维护林区的稳定，参与林区社会治安综合治理，承担森林防火工作，负责火场警戒、交通疏导、治安维护、火案侦破等，协助林业部门开展防火宣传、火灾隐患排查、重点领域巡护、违规用火处罚等工作。掌握生态环境、生物安全等领域犯罪东北塘，拟定预防、打击对策，组织开展对生态环境、生物安全等领域犯罪案件的侦查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县公安机关与林业部门建立健全安全保卫工作协作机制、行政执法与刑事司法衔接机制，加强信息沟通和协同合作，共同做好保护自然和生态环境工作。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600" w:lineRule="exact"/>
        <w:ind w:firstLine="800" w:firstLineChars="250"/>
        <w:textAlignment w:val="auto"/>
        <w:rPr>
          <w:rFonts w:ascii="Times New Roman" w:hAnsi="Times New Roman" w:eastAsia="仿宋_GB2312" w:cs="Times New Roman"/>
          <w:bCs/>
          <w:kern w:val="0"/>
          <w:sz w:val="32"/>
          <w:szCs w:val="32"/>
        </w:rPr>
      </w:pPr>
      <w:r>
        <w:rPr>
          <w:rFonts w:ascii="Times New Roman" w:hAnsi="Times New Roman" w:eastAsia="仿宋_GB2312" w:cs="Times New Roman"/>
          <w:sz w:val="32"/>
          <w:szCs w:val="32"/>
        </w:rPr>
        <w:t>（一）内设机构设置。</w:t>
      </w:r>
      <w:r>
        <w:rPr>
          <w:rFonts w:hint="eastAsia" w:ascii="Times New Roman" w:hAnsi="Times New Roman" w:eastAsia="仿宋_GB2312" w:cs="Times New Roman"/>
          <w:sz w:val="32"/>
          <w:szCs w:val="32"/>
          <w:lang w:val="en-US" w:eastAsia="zh-CN"/>
        </w:rPr>
        <w:t>道县森林公安局</w:t>
      </w:r>
      <w:r>
        <w:rPr>
          <w:rFonts w:ascii="Times New Roman" w:hAnsi="Times New Roman" w:eastAsia="仿宋_GB2312" w:cs="Times New Roman"/>
          <w:sz w:val="32"/>
          <w:szCs w:val="32"/>
        </w:rPr>
        <w:t>内设机构包括：</w:t>
      </w:r>
      <w:r>
        <w:rPr>
          <w:rFonts w:hint="eastAsia" w:ascii="Times New Roman" w:hAnsi="Times New Roman" w:eastAsia="仿宋_GB2312" w:cs="Times New Roman"/>
          <w:sz w:val="32"/>
          <w:szCs w:val="32"/>
        </w:rPr>
        <w:t>办公室、刑侦治</w:t>
      </w:r>
      <w:r>
        <w:rPr>
          <w:rFonts w:hint="eastAsia" w:ascii="Times New Roman" w:hAnsi="Times New Roman" w:eastAsia="仿宋_GB2312" w:cs="Times New Roman"/>
          <w:bCs/>
          <w:kern w:val="0"/>
          <w:sz w:val="32"/>
          <w:szCs w:val="32"/>
        </w:rPr>
        <w:t>安股、森林消防股、法制股。下设2个派出所：仙子脚派出所、四马桥派出所。</w:t>
      </w:r>
    </w:p>
    <w:p>
      <w:pPr>
        <w:keepNext w:val="0"/>
        <w:keepLines w:val="0"/>
        <w:pageBreakBefore w:val="0"/>
        <w:widowControl/>
        <w:kinsoku/>
        <w:wordWrap/>
        <w:overflowPunct/>
        <w:topLinePunct w:val="0"/>
        <w:autoSpaceDE/>
        <w:autoSpaceDN/>
        <w:bidi w:val="0"/>
        <w:adjustRightInd/>
        <w:snapToGrid/>
        <w:spacing w:line="600" w:lineRule="exact"/>
        <w:ind w:firstLine="800" w:firstLineChars="250"/>
        <w:textAlignment w:val="auto"/>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道县森林公安局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道县森林公安局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270.29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22.23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9.74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302.26</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道县森林公安局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126"/>
        <w:gridCol w:w="206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12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6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12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6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302.26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302.26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2040201</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192.77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192.77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2040202</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一般行政管理事务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2040299</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其他公安支出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74.8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2080505</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2101101</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0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道县森林公安局</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297"/>
        <w:gridCol w:w="4319"/>
        <w:gridCol w:w="1382"/>
        <w:gridCol w:w="1436"/>
        <w:gridCol w:w="1558"/>
        <w:gridCol w:w="1493"/>
        <w:gridCol w:w="1388"/>
        <w:gridCol w:w="1336"/>
      </w:tblGrid>
      <w:tr>
        <w:tblPrEx>
          <w:tblCellMar>
            <w:top w:w="0" w:type="dxa"/>
            <w:left w:w="108" w:type="dxa"/>
            <w:bottom w:w="0" w:type="dxa"/>
            <w:right w:w="108" w:type="dxa"/>
          </w:tblCellMar>
        </w:tblPrEx>
        <w:trPr>
          <w:trHeight w:val="595" w:hRule="atLeast"/>
          <w:jc w:val="center"/>
        </w:trPr>
        <w:tc>
          <w:tcPr>
            <w:tcW w:w="1975"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8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47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51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8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8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51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8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8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97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8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0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2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8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975"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302.26</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224.74</w:t>
            </w: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77.52</w:t>
            </w: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2040201</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行政运行</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192.77</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192.77</w:t>
            </w: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2040202</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一般行政管理事务</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2.73</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2.73</w:t>
            </w: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2040299</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其他公安支出</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74.8</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74.8</w:t>
            </w: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机关事业单位基本养老保险缴费支出</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22.23</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22.23</w:t>
            </w: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2101101</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行政单位医疗</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9.74</w:t>
            </w: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9.74</w:t>
            </w: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56"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519"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0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2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道县森林公安局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fixed"/>
        <w:tblCellMar>
          <w:top w:w="0" w:type="dxa"/>
          <w:left w:w="108" w:type="dxa"/>
          <w:bottom w:w="0" w:type="dxa"/>
          <w:right w:w="108" w:type="dxa"/>
        </w:tblCellMar>
      </w:tblPr>
      <w:tblGrid>
        <w:gridCol w:w="3516"/>
        <w:gridCol w:w="616"/>
        <w:gridCol w:w="821"/>
        <w:gridCol w:w="2856"/>
        <w:gridCol w:w="548"/>
        <w:gridCol w:w="826"/>
        <w:gridCol w:w="1640"/>
        <w:gridCol w:w="1707"/>
        <w:gridCol w:w="1690"/>
      </w:tblGrid>
      <w:tr>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4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0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302.26</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270.29</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270.29</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八、社会保障和就业支出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22.23</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22.23</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9.74</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9.74</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8"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302.26</w:t>
            </w:r>
            <w:r>
              <w:rPr>
                <w:rFonts w:ascii="Times New Roman" w:hAnsi="Times New Roman" w:eastAsia="仿宋_GB2312" w:cs="Times New Roman"/>
                <w:kern w:val="0"/>
                <w:sz w:val="22"/>
              </w:rPr>
              <w:t>　</w:t>
            </w:r>
          </w:p>
        </w:tc>
        <w:tc>
          <w:tcPr>
            <w:tcW w:w="285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48"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26"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302.26</w:t>
            </w:r>
          </w:p>
        </w:tc>
        <w:tc>
          <w:tcPr>
            <w:tcW w:w="1640"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302.26</w:t>
            </w:r>
          </w:p>
        </w:tc>
        <w:tc>
          <w:tcPr>
            <w:tcW w:w="17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9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 xml:space="preserve">道县森林公安局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302.26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224.74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77.52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2040201</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192.77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192.77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2040202</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2.73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2.73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2040299</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其他公安支出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74.8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74.8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22.23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22.23</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行政单位医疗</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9.74</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　9.74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道县森林公安局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070"/>
        <w:gridCol w:w="1093"/>
        <w:gridCol w:w="1937"/>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7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9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93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189.76</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34.79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112.15</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4.68</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30.54</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1.11</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17.52</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4.19</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9.63</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0.63</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9.3</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0.19</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0.19</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93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7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189.95</w:t>
            </w:r>
          </w:p>
        </w:tc>
        <w:tc>
          <w:tcPr>
            <w:tcW w:w="8697"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34.79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道县森林公安局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道县森林公安局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道县森林公安局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3.82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3.82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3.82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人员工资经费支出增加</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辅警经费</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224.74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74.35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77.52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25.65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302.26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人员工资经费支出增加。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人员工资经费支出增加。</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公共安全（类）支出2</w:t>
      </w:r>
      <w:r>
        <w:rPr>
          <w:rFonts w:hint="eastAsia" w:ascii="Times New Roman" w:hAnsi="Times New Roman" w:eastAsia="仿宋_GB2312" w:cs="Times New Roman"/>
          <w:sz w:val="32"/>
          <w:szCs w:val="32"/>
          <w:lang w:val="en-US" w:eastAsia="zh-CN"/>
        </w:rPr>
        <w:t>70.29</w:t>
      </w:r>
      <w:r>
        <w:rPr>
          <w:rFonts w:hint="eastAsia" w:ascii="Times New Roman" w:hAnsi="Times New Roman" w:eastAsia="仿宋_GB2312" w:cs="Times New Roman"/>
          <w:sz w:val="32"/>
          <w:szCs w:val="32"/>
        </w:rPr>
        <w:t>万元，占89.68%；社会保障和就业（类）支出</w:t>
      </w:r>
      <w:r>
        <w:rPr>
          <w:rFonts w:hint="eastAsia" w:ascii="Times New Roman" w:hAnsi="Times New Roman" w:eastAsia="仿宋_GB2312" w:cs="Times New Roman"/>
          <w:sz w:val="32"/>
          <w:szCs w:val="32"/>
          <w:lang w:val="en-US" w:eastAsia="zh-CN"/>
        </w:rPr>
        <w:t>22.2</w:t>
      </w:r>
      <w:r>
        <w:rPr>
          <w:rFonts w:hint="eastAsia" w:ascii="Times New Roman" w:hAnsi="Times New Roman" w:eastAsia="仿宋_GB2312" w:cs="Times New Roman"/>
          <w:sz w:val="32"/>
          <w:szCs w:val="32"/>
        </w:rPr>
        <w:t>3万元，占6.47%；卫生健康（类）支出9.</w:t>
      </w:r>
      <w:r>
        <w:rPr>
          <w:rFonts w:hint="eastAsia" w:ascii="Times New Roman" w:hAnsi="Times New Roman" w:eastAsia="仿宋_GB2312" w:cs="Times New Roman"/>
          <w:sz w:val="32"/>
          <w:szCs w:val="32"/>
          <w:lang w:val="en-US" w:eastAsia="zh-CN"/>
        </w:rPr>
        <w:t>74</w:t>
      </w:r>
      <w:r>
        <w:rPr>
          <w:rFonts w:hint="eastAsia" w:ascii="Times New Roman" w:hAnsi="Times New Roman" w:eastAsia="仿宋_GB2312" w:cs="Times New Roman"/>
          <w:sz w:val="32"/>
          <w:szCs w:val="32"/>
        </w:rPr>
        <w:t>万元，占3%。</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293.69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102.92</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1、公共安全（类）公安（款）行政运行支出。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256.21</w:t>
      </w:r>
      <w:r>
        <w:rPr>
          <w:rFonts w:hint="eastAsia" w:ascii="Times New Roman" w:hAnsi="Times New Roman" w:eastAsia="仿宋_GB2312" w:cs="Times New Roman"/>
          <w:sz w:val="32"/>
          <w:szCs w:val="32"/>
        </w:rPr>
        <w:t>万元，支出决算为1</w:t>
      </w:r>
      <w:r>
        <w:rPr>
          <w:rFonts w:hint="eastAsia" w:ascii="Times New Roman" w:hAnsi="Times New Roman" w:eastAsia="仿宋_GB2312" w:cs="Times New Roman"/>
          <w:sz w:val="32"/>
          <w:szCs w:val="32"/>
          <w:lang w:val="en-US" w:eastAsia="zh-CN"/>
        </w:rPr>
        <w:t>92.77</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color w:val="auto"/>
          <w:sz w:val="32"/>
          <w:szCs w:val="32"/>
          <w:lang w:val="en-US" w:eastAsia="zh-CN"/>
        </w:rPr>
        <w:t>75.24</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一是预算编制没有细化，二是严格执行厉行节约</w:t>
      </w:r>
      <w:r>
        <w:rPr>
          <w:rFonts w:hint="eastAsia"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公共安全（类）公安（款）</w:t>
      </w:r>
      <w:r>
        <w:rPr>
          <w:rFonts w:hint="eastAsia" w:ascii="Times New Roman" w:hAnsi="Times New Roman" w:eastAsia="仿宋_GB2312" w:cs="Times New Roman"/>
          <w:sz w:val="32"/>
          <w:szCs w:val="32"/>
          <w:lang w:val="en-US" w:eastAsia="zh-CN"/>
        </w:rPr>
        <w:t>一般行政管理事务</w:t>
      </w:r>
      <w:r>
        <w:rPr>
          <w:rFonts w:hint="eastAsia" w:ascii="Times New Roman" w:hAnsi="Times New Roman" w:eastAsia="仿宋_GB2312" w:cs="Times New Roman"/>
          <w:sz w:val="32"/>
          <w:szCs w:val="32"/>
        </w:rPr>
        <w:t>支出。</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为上级转移支付支出。</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公共安全（类）公安（款）其他公安支出。</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74.79</w:t>
      </w:r>
      <w:r>
        <w:rPr>
          <w:rFonts w:hint="eastAsia" w:ascii="Times New Roman" w:hAnsi="Times New Roman" w:eastAsia="仿宋_GB2312" w:cs="Times New Roman"/>
          <w:sz w:val="32"/>
          <w:szCs w:val="32"/>
        </w:rPr>
        <w:t>万元，决算数大于年初预算数的主要原因是：预算支出编制没有细化，统筹在行政支出分类中。</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4、社会保障和就业（类）行政事业单位养老支出（款）机关事业单位基本养老保险缴费支出。</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年初预算为16.58万元，支出决算为22.23万元，完成年初预算的134%，决算数大于年初预算数的主要原因是：缴费基数较上年有所提高。</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5、卫生健康（类）行政事业单位医疗（款）行政单位医疗。</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年初预算为9.01万元，支出决算9.74万元，决算数小于年初预算数的主要原因是：严格执行厉行节约制度。</w:t>
      </w:r>
    </w:p>
    <w:p>
      <w:pPr>
        <w:pStyle w:val="12"/>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住房保障支出（类）住房改革支出（款）住房公积金。</w:t>
      </w:r>
    </w:p>
    <w:p>
      <w:pPr>
        <w:pStyle w:val="12"/>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年初预算为11.88万元，支出决算0万元，决算数小于年初预算数的主要原因是：统筹在行政运行项目里。</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224.74</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189.95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84.52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职业年金缴费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、其他工资福利支出</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34.79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15.48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差旅费、劳务费、工会经费、公务用车运行维护费、其他交通费用、税金及附加费用、其他商品和服务支出等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落实过紧日子要求压减相关支出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落实过紧日子要求压减相关支出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234</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警车维修费、保险费、年检费等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8.94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234</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相关</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相关支出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34.79</w:t>
      </w:r>
      <w:r>
        <w:rPr>
          <w:rFonts w:ascii="Times New Roman" w:hAnsi="Times New Roman" w:eastAsia="仿宋_GB2312" w:cs="Times New Roman"/>
          <w:sz w:val="32"/>
          <w:szCs w:val="32"/>
        </w:rPr>
        <w:t>万元</w:t>
      </w:r>
      <w:r>
        <w:rPr>
          <w:rFonts w:hint="eastAsia" w:ascii="Times New Roman" w:hAnsi="Times New Roman" w:eastAsia="楷体_GB2312" w:cs="Times New Roman"/>
          <w:b w:val="0"/>
          <w:bCs w:val="0"/>
          <w:i/>
          <w:color w:val="auto"/>
          <w:sz w:val="32"/>
          <w:szCs w:val="32"/>
          <w:lang w:eastAsia="zh-CN"/>
        </w:rPr>
        <w:t>，</w:t>
      </w:r>
      <w:r>
        <w:rPr>
          <w:rFonts w:ascii="Times New Roman" w:hAnsi="Times New Roman" w:eastAsia="仿宋_GB2312" w:cs="Times New Roman"/>
          <w:sz w:val="32"/>
          <w:szCs w:val="32"/>
        </w:rPr>
        <w:t>比年初预算数增加</w:t>
      </w:r>
      <w:r>
        <w:rPr>
          <w:rFonts w:hint="eastAsia" w:ascii="Times New Roman" w:hAnsi="Times New Roman" w:eastAsia="仿宋_GB2312" w:cs="Times New Roman"/>
          <w:sz w:val="32"/>
          <w:szCs w:val="32"/>
          <w:lang w:val="en-US" w:eastAsia="zh-CN"/>
        </w:rPr>
        <w:t>6.29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包含了车补在内，预算时车补按要求作为项目录入系统，因此比年初预算多</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w:t>
      </w:r>
      <w:r>
        <w:rPr>
          <w:rFonts w:hint="eastAsia" w:ascii="Times New Roman" w:hAnsi="Times New Roman" w:eastAsia="仿宋_GB2312" w:cs="Times New Roman"/>
          <w:sz w:val="32"/>
          <w:szCs w:val="32"/>
          <w:lang w:val="en-US" w:eastAsia="zh-CN"/>
        </w:rPr>
        <w:t>单位</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default" w:ascii="Times New Roman" w:hAnsi="Times New Roman" w:eastAsia="仿宋_GB2312" w:cs="Times New Roman"/>
          <w:sz w:val="32"/>
          <w:szCs w:val="32"/>
          <w:lang w:val="en-US"/>
        </w:rPr>
        <w:t>8.84</w:t>
      </w:r>
      <w:r>
        <w:rPr>
          <w:rFonts w:ascii="Times New Roman" w:hAnsi="Times New Roman" w:eastAsia="仿宋_GB2312" w:cs="Times New Roman"/>
          <w:sz w:val="32"/>
          <w:szCs w:val="32"/>
        </w:rPr>
        <w:t>万元，其中：政府采购货物支出</w:t>
      </w:r>
      <w:r>
        <w:rPr>
          <w:rFonts w:hint="default" w:ascii="Times New Roman" w:hAnsi="Times New Roman" w:eastAsia="仿宋_GB2312" w:cs="Times New Roman"/>
          <w:sz w:val="32"/>
          <w:szCs w:val="32"/>
          <w:lang w:val="en-US"/>
        </w:rPr>
        <w:t>8.84</w:t>
      </w:r>
      <w:r>
        <w:rPr>
          <w:rFonts w:ascii="Times New Roman" w:hAnsi="Times New Roman" w:eastAsia="仿宋_GB2312" w:cs="Times New Roman"/>
          <w:sz w:val="32"/>
          <w:szCs w:val="32"/>
        </w:rPr>
        <w:t>万元、政府采购工程支出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万元、政府采购服务支出</w:t>
      </w:r>
      <w:r>
        <w:rPr>
          <w:rFonts w:hint="default" w:ascii="Times New Roman" w:hAnsi="Times New Roman" w:eastAsia="仿宋_GB2312" w:cs="Times New Roman"/>
          <w:sz w:val="32"/>
          <w:szCs w:val="32"/>
          <w:lang w:val="en-US"/>
        </w:rPr>
        <w:t>0</w:t>
      </w:r>
      <w:r>
        <w:rPr>
          <w:rFonts w:ascii="Times New Roman" w:hAnsi="Times New Roman" w:eastAsia="仿宋_GB2312" w:cs="Times New Roman"/>
          <w:sz w:val="32"/>
          <w:szCs w:val="32"/>
        </w:rPr>
        <w:t>万元。授予中小企业合同金额</w:t>
      </w:r>
      <w:r>
        <w:rPr>
          <w:rFonts w:hint="default" w:ascii="Times New Roman" w:hAnsi="Times New Roman" w:eastAsia="仿宋_GB2312" w:cs="Times New Roman"/>
          <w:sz w:val="32"/>
          <w:szCs w:val="32"/>
          <w:lang w:val="en-US"/>
        </w:rPr>
        <w:t>8.84</w:t>
      </w:r>
      <w:r>
        <w:rPr>
          <w:rFonts w:ascii="Times New Roman" w:hAnsi="Times New Roman" w:eastAsia="仿宋_GB2312" w:cs="Times New Roman"/>
          <w:sz w:val="32"/>
          <w:szCs w:val="32"/>
        </w:rPr>
        <w:t>万元，占政府采购支出总额的</w:t>
      </w:r>
      <w:r>
        <w:rPr>
          <w:rFonts w:hint="default" w:ascii="Times New Roman" w:hAnsi="Times New Roman" w:eastAsia="仿宋_GB2312" w:cs="Times New Roman"/>
          <w:sz w:val="32"/>
          <w:szCs w:val="32"/>
          <w:lang w:val="en-US"/>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8.84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绩效自评开展情况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58.59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58.59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pPr>
        <w:overflowPunct w:val="0"/>
        <w:spacing w:line="600" w:lineRule="exact"/>
        <w:ind w:firstLine="640" w:firstLineChars="200"/>
        <w:rPr>
          <w:rFonts w:hint="default" w:ascii="Times New Roman" w:hAnsi="Times New Roman" w:eastAsia="仿宋_GB2312" w:cs="Times New Roman"/>
          <w:bCs/>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293.69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302.26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rPr>
        <w:t>02</w:t>
      </w:r>
      <w:r>
        <w:rPr>
          <w:rFonts w:hint="eastAsia" w:ascii="Times New Roman" w:hAnsi="Times New Roman" w:eastAsia="仿宋_GB2312" w:cs="Times New Roman"/>
          <w:sz w:val="32"/>
          <w:szCs w:val="32"/>
        </w:rPr>
        <w:t>.9</w:t>
      </w:r>
      <w:r>
        <w:rPr>
          <w:rFonts w:hint="default" w:ascii="Times New Roman" w:hAnsi="Times New Roman" w:eastAsia="仿宋_GB2312" w:cs="Times New Roman"/>
          <w:sz w:val="32"/>
          <w:szCs w:val="32"/>
          <w:lang w:val="en-US"/>
        </w:rPr>
        <w:t>2</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绩效目标完成情况</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一是</w:t>
      </w:r>
      <w:r>
        <w:rPr>
          <w:rFonts w:hint="eastAsia" w:ascii="Times New Roman" w:hAnsi="Times New Roman" w:eastAsia="仿宋_GB2312" w:cs="Times New Roman"/>
          <w:sz w:val="32"/>
          <w:szCs w:val="32"/>
        </w:rPr>
        <w:t>咬定目标不放松，工作亮点纷呈。1.2025年度在全市森林公安警种考评排名第三。2.“打击工作做到了不降反升，在全市警种打击工作呈总体下滑趋势的情况下，我们没有因公安改革等原因而影响打击工作，全年立刑事案案件29起，比2024年上升53%，破获24起，其中有2起被省公安厅列为正向挂牌督办案件。</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.主动担当，积极作为，服务发展大局。围绕县委政府中心工作，成功稳妥办结了3起涉稳疑难案件，有效保障了县重点项目建设顺利推进。</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.队伍平安稳定，全年森林公安全体民辅警没有发生违纪违法案事件</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二是</w:t>
      </w:r>
      <w:r>
        <w:rPr>
          <w:rFonts w:hint="eastAsia" w:ascii="Times New Roman" w:hAnsi="Times New Roman" w:eastAsia="仿宋_GB2312" w:cs="Times New Roman"/>
          <w:sz w:val="32"/>
          <w:szCs w:val="32"/>
        </w:rPr>
        <w:t>严打突出违法犯罪，确保生态安全。我局聚焦主责主业，以专项行动为抓手强化打击整治力度。先后组织开展“生态三湘2025”“一打二</w:t>
      </w:r>
      <w:r>
        <w:rPr>
          <w:rFonts w:hint="eastAsia" w:ascii="Times New Roman" w:hAnsi="Times New Roman" w:eastAsia="仿宋_GB2312" w:cs="Times New Roman"/>
          <w:sz w:val="32"/>
          <w:szCs w:val="32"/>
          <w:lang w:val="en-US" w:eastAsia="zh-CN"/>
        </w:rPr>
        <w:t>防</w:t>
      </w:r>
      <w:r>
        <w:rPr>
          <w:rFonts w:hint="eastAsia" w:ascii="Times New Roman" w:hAnsi="Times New Roman" w:eastAsia="仿宋_GB2312" w:cs="Times New Roman"/>
          <w:sz w:val="32"/>
          <w:szCs w:val="32"/>
        </w:rPr>
        <w:t>三整治”“化解矛盾风险，维护社会稳定”“打击殡葬领域违法犯罪”“打击危害候鸟违法犯罪”“非法狩猎”“平安原野—2025”“清网护鸟”“湘江流域水污染犯罪”“平安长江”“清风行动2025”等专项行动，严厉打击污染环境、破坏野生动物资源、非法采矿、非法占用农用地等突出违法犯罪，立刑事案件29起，侦破24起，抓获违法犯罪嫌疑人35人。立行政案件2起，查处2起</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b/>
          <w:bCs/>
          <w:sz w:val="32"/>
          <w:szCs w:val="32"/>
          <w:lang w:eastAsia="zh-CN"/>
        </w:rPr>
        <w:t>三是</w:t>
      </w:r>
      <w:r>
        <w:rPr>
          <w:rFonts w:hint="eastAsia" w:ascii="Times New Roman" w:hAnsi="Times New Roman" w:eastAsia="仿宋_GB2312" w:cs="Times New Roman"/>
          <w:sz w:val="32"/>
          <w:szCs w:val="32"/>
          <w:lang w:eastAsia="zh-CN"/>
        </w:rPr>
        <w:t>深化警务机制创新，提升治理效能。我局围绕生态环境保护和生物安全开展系列工作，构建新型警务模式，整合无人机巡护、智慧监控等科技手段，采取“定点巡+流动巡”“空中巡+地面查”相结合的方式，加大重点区域、野生动物栖息地和候鸟迁徙巡护。建立与生态环境、自然资源、林业、应急、水利、农业农村等部门联动衔接，严格落实森林防灭火“四负责四协同”工作职责，强化与林业、应急等部门协调联动，紧盯春节、清明等重要节点，分赴各乡镇开展森林防灭火宣传、巡查，对重点区域巡护228处，排查火灾隐患79处，制止违规用火58起，巡查巡护侯鸟通道43次，巡查河道19次</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发现的主要问题及原因：</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lang w:val="en-US" w:eastAsia="zh-CN"/>
        </w:rPr>
        <w:t>因缺乏专业人才、</w:t>
      </w:r>
      <w:r>
        <w:rPr>
          <w:rFonts w:hint="eastAsia" w:ascii="仿宋" w:hAnsi="仿宋" w:eastAsia="仿宋" w:cs="宋体"/>
          <w:kern w:val="0"/>
          <w:sz w:val="32"/>
          <w:szCs w:val="32"/>
        </w:rPr>
        <w:t>技术手段落后</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行政执法力度不够</w:t>
      </w:r>
      <w:r>
        <w:rPr>
          <w:rFonts w:hint="eastAsia" w:ascii="仿宋" w:hAnsi="仿宋" w:eastAsia="仿宋" w:cs="宋体"/>
          <w:kern w:val="0"/>
          <w:sz w:val="32"/>
          <w:szCs w:val="32"/>
          <w:lang w:eastAsia="zh-CN"/>
        </w:rPr>
        <w:t>、</w:t>
      </w:r>
      <w:r>
        <w:rPr>
          <w:rFonts w:hint="eastAsia" w:ascii="仿宋" w:hAnsi="仿宋" w:eastAsia="仿宋" w:cs="宋体"/>
          <w:kern w:val="0"/>
          <w:sz w:val="32"/>
          <w:szCs w:val="32"/>
        </w:rPr>
        <w:t>群众</w:t>
      </w:r>
      <w:r>
        <w:rPr>
          <w:rFonts w:hint="eastAsia" w:ascii="仿宋" w:hAnsi="仿宋" w:eastAsia="仿宋" w:cs="宋体"/>
          <w:kern w:val="0"/>
          <w:sz w:val="32"/>
          <w:szCs w:val="32"/>
          <w:lang w:val="en-US" w:eastAsia="zh-CN"/>
        </w:rPr>
        <w:t>警惕</w:t>
      </w:r>
      <w:r>
        <w:rPr>
          <w:rFonts w:hint="eastAsia" w:ascii="仿宋" w:hAnsi="仿宋" w:eastAsia="仿宋" w:cs="宋体"/>
          <w:kern w:val="0"/>
          <w:sz w:val="32"/>
          <w:szCs w:val="32"/>
        </w:rPr>
        <w:t>意识不强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导致对新型态犯罪打击不力</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警力不足</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下一步改进措施：</w:t>
      </w:r>
      <w:r>
        <w:rPr>
          <w:rFonts w:ascii="Times New Roman" w:hAnsi="Times New Roman" w:eastAsia="仿宋_GB2312" w:cs="Times New Roman"/>
          <w:sz w:val="32"/>
          <w:szCs w:val="32"/>
        </w:rPr>
        <w:t>一是</w:t>
      </w:r>
      <w:r>
        <w:rPr>
          <w:rFonts w:hint="eastAsia" w:ascii="Times New Roman" w:hAnsi="Times New Roman" w:eastAsia="仿宋_GB2312" w:cs="Times New Roman"/>
          <w:sz w:val="32"/>
          <w:szCs w:val="32"/>
        </w:rPr>
        <w:t>强化队伍管理</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加强业务培训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rPr>
        <w:t>完善协同机制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五是开展专项打击。</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val="en-US" w:eastAsia="zh-CN"/>
        </w:rPr>
        <w:t>一是</w:t>
      </w:r>
      <w:r>
        <w:rPr>
          <w:rFonts w:hint="eastAsia" w:ascii="Times New Roman" w:hAnsi="Times New Roman" w:eastAsia="仿宋_GB2312" w:cs="Times New Roman"/>
          <w:color w:val="auto"/>
          <w:sz w:val="32"/>
          <w:szCs w:val="32"/>
        </w:rPr>
        <w:t>进一步树牢“过紧日子”思想，大力压减非刚性、非重点支出。腾挪出的资金空间集中用于保障本单位核心职能履行、重点民生服务及高质量发展等“大事要事”。通过优化支出结构，确保了财政资金好钢用在刀刃上，有效提升了财政资源配置的精准性和有效性。</w:t>
      </w:r>
      <w:r>
        <w:rPr>
          <w:rFonts w:hint="eastAsia" w:ascii="Times New Roman" w:hAnsi="Times New Roman" w:eastAsia="仿宋_GB2312" w:cs="Times New Roman"/>
          <w:color w:val="auto"/>
          <w:sz w:val="32"/>
          <w:szCs w:val="32"/>
          <w:lang w:val="en-US" w:eastAsia="zh-CN"/>
        </w:rPr>
        <w:t>二是</w:t>
      </w:r>
      <w:r>
        <w:rPr>
          <w:rFonts w:hint="eastAsia" w:ascii="Times New Roman" w:hAnsi="Times New Roman" w:eastAsia="仿宋_GB2312" w:cs="Times New Roman"/>
          <w:color w:val="auto"/>
          <w:sz w:val="32"/>
          <w:szCs w:val="32"/>
        </w:rPr>
        <w:t>以绩效评价结果应用为契机，本单位深入剖析问题产生的深层次原因，坚持“当下改”与“长久立”相结合。进一步修订完善了单位内部预算绩效管理、内部控制及财务核算等相关制度，细化了量化考核指标体系。同时，加强了业务股室与财务部门的协同联动及绩效业务培训，不断提升全员绩效意识与专业素质，推动本单位预算绩效管理工作向科学化、精细化、规范化迈进。</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方正小标宋简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79BA0B"/>
    <w:multiLevelType w:val="singleLevel"/>
    <w:tmpl w:val="3E79BA0B"/>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FDF85B8"/>
    <w:rsid w:val="2FFFEE04"/>
    <w:rsid w:val="33BEF082"/>
    <w:rsid w:val="34DF85B0"/>
    <w:rsid w:val="35FF27E9"/>
    <w:rsid w:val="3B8F36BC"/>
    <w:rsid w:val="485B0B01"/>
    <w:rsid w:val="491FF225"/>
    <w:rsid w:val="4AFFCA62"/>
    <w:rsid w:val="4FFD214C"/>
    <w:rsid w:val="56FF4E47"/>
    <w:rsid w:val="5777D4F5"/>
    <w:rsid w:val="59DD8326"/>
    <w:rsid w:val="59F331D4"/>
    <w:rsid w:val="5BDF23C7"/>
    <w:rsid w:val="5DE37C4B"/>
    <w:rsid w:val="5DEF592A"/>
    <w:rsid w:val="5EB96F97"/>
    <w:rsid w:val="5EDCE613"/>
    <w:rsid w:val="5FC6BB1E"/>
    <w:rsid w:val="5FF720F1"/>
    <w:rsid w:val="5FFE6996"/>
    <w:rsid w:val="66CFBEC8"/>
    <w:rsid w:val="67FF5C0B"/>
    <w:rsid w:val="6AFFCB5D"/>
    <w:rsid w:val="6EF6AEC1"/>
    <w:rsid w:val="6EFC0924"/>
    <w:rsid w:val="6FB74722"/>
    <w:rsid w:val="6FEF8B7E"/>
    <w:rsid w:val="71A6591B"/>
    <w:rsid w:val="723EEE80"/>
    <w:rsid w:val="737D59BA"/>
    <w:rsid w:val="76EF61E6"/>
    <w:rsid w:val="77565BD2"/>
    <w:rsid w:val="77C37683"/>
    <w:rsid w:val="77DB7343"/>
    <w:rsid w:val="79D19834"/>
    <w:rsid w:val="79FF515B"/>
    <w:rsid w:val="7B7C65C1"/>
    <w:rsid w:val="7BB794E7"/>
    <w:rsid w:val="7BF549BF"/>
    <w:rsid w:val="7BFF23BF"/>
    <w:rsid w:val="7E9E1962"/>
    <w:rsid w:val="7E9F11B4"/>
    <w:rsid w:val="7F37EC1E"/>
    <w:rsid w:val="7F5E0C73"/>
    <w:rsid w:val="7F7DCD9D"/>
    <w:rsid w:val="7F970A6F"/>
    <w:rsid w:val="7FC1FFF3"/>
    <w:rsid w:val="7FC69637"/>
    <w:rsid w:val="7FDC90FB"/>
    <w:rsid w:val="7FDF8620"/>
    <w:rsid w:val="7FE8C8F7"/>
    <w:rsid w:val="7FECE198"/>
    <w:rsid w:val="7FFB242F"/>
    <w:rsid w:val="7FFDB408"/>
    <w:rsid w:val="7FFE4EEB"/>
    <w:rsid w:val="95FB2B98"/>
    <w:rsid w:val="9A639BC2"/>
    <w:rsid w:val="9BFA491D"/>
    <w:rsid w:val="9FEFC6AD"/>
    <w:rsid w:val="9FF7D786"/>
    <w:rsid w:val="ABBFB23D"/>
    <w:rsid w:val="ACFD2A52"/>
    <w:rsid w:val="ADFF8D1A"/>
    <w:rsid w:val="B6AFFE39"/>
    <w:rsid w:val="B7FE4A47"/>
    <w:rsid w:val="BFBF7C60"/>
    <w:rsid w:val="BFFFC4F1"/>
    <w:rsid w:val="C36F2DD8"/>
    <w:rsid w:val="C3B4DA5A"/>
    <w:rsid w:val="CBFF70E0"/>
    <w:rsid w:val="CC6F62B5"/>
    <w:rsid w:val="CFDFF45C"/>
    <w:rsid w:val="CFF50B82"/>
    <w:rsid w:val="CFFFAD89"/>
    <w:rsid w:val="DDDFBDAC"/>
    <w:rsid w:val="DDEB0693"/>
    <w:rsid w:val="DFBBE295"/>
    <w:rsid w:val="DFBF9295"/>
    <w:rsid w:val="DFFE359E"/>
    <w:rsid w:val="DFFE4FFD"/>
    <w:rsid w:val="E3FF7A5E"/>
    <w:rsid w:val="E76F97B7"/>
    <w:rsid w:val="EDB3E911"/>
    <w:rsid w:val="EEABED75"/>
    <w:rsid w:val="EFD744B8"/>
    <w:rsid w:val="EFDA007C"/>
    <w:rsid w:val="EFEF8071"/>
    <w:rsid w:val="EFF5C100"/>
    <w:rsid w:val="F56FDF51"/>
    <w:rsid w:val="F6B69F17"/>
    <w:rsid w:val="F6DFD50E"/>
    <w:rsid w:val="F77F1D61"/>
    <w:rsid w:val="F7FED3A9"/>
    <w:rsid w:val="F83F4EC2"/>
    <w:rsid w:val="F8C9DB26"/>
    <w:rsid w:val="F97E8EAE"/>
    <w:rsid w:val="FABFCB42"/>
    <w:rsid w:val="FB36E1A6"/>
    <w:rsid w:val="FB3BE134"/>
    <w:rsid w:val="FCFF4275"/>
    <w:rsid w:val="FD7FEEEA"/>
    <w:rsid w:val="FDF5AE7E"/>
    <w:rsid w:val="FDFDA635"/>
    <w:rsid w:val="FDFFB577"/>
    <w:rsid w:val="FE76FBA8"/>
    <w:rsid w:val="FE7DD6DE"/>
    <w:rsid w:val="FEEA50FE"/>
    <w:rsid w:val="FF53567B"/>
    <w:rsid w:val="FF5FEB48"/>
    <w:rsid w:val="FF7D47A9"/>
    <w:rsid w:val="FF7D5F1F"/>
    <w:rsid w:val="FF7F63BE"/>
    <w:rsid w:val="FFCF21CB"/>
    <w:rsid w:val="FFFF1C8B"/>
    <w:rsid w:val="FFFFE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986</Words>
  <Characters>1026</Characters>
  <Lines>69</Lines>
  <Paragraphs>19</Paragraphs>
  <TotalTime>7</TotalTime>
  <ScaleCrop>false</ScaleCrop>
  <LinksUpToDate>false</LinksUpToDate>
  <CharactersWithSpaces>1246</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蒋琼</cp:lastModifiedBy>
  <cp:lastPrinted>2024-08-10T10:20:00Z</cp:lastPrinted>
  <dcterms:modified xsi:type="dcterms:W3CDTF">2026-09-16T01:18:09Z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DC19C552AD2B1AC81488976AB19BB921_43</vt:lpwstr>
  </property>
</Properties>
</file>