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pacing w:line="600" w:lineRule="exact"/>
        <w:jc w:val="center"/>
        <w:rPr>
          <w:rFonts w:hint="eastAsia" w:eastAsia="方正小标宋_GBK"/>
          <w:sz w:val="36"/>
          <w:szCs w:val="36"/>
        </w:rPr>
      </w:pPr>
      <w:r>
        <w:rPr>
          <w:rFonts w:eastAsia="方正小标宋_GBK"/>
          <w:sz w:val="36"/>
          <w:szCs w:val="36"/>
        </w:rPr>
        <w:t>202</w:t>
      </w:r>
      <w:r>
        <w:rPr>
          <w:rFonts w:hint="eastAsia" w:eastAsia="方正小标宋_GBK"/>
          <w:sz w:val="36"/>
          <w:szCs w:val="36"/>
          <w:lang w:val="en-US" w:eastAsia="zh-CN"/>
        </w:rPr>
        <w:t>5</w:t>
      </w:r>
      <w:r>
        <w:rPr>
          <w:rFonts w:hint="eastAsia" w:eastAsia="方正小标宋_GBK"/>
          <w:sz w:val="36"/>
          <w:szCs w:val="36"/>
        </w:rPr>
        <w:t>年度道县</w:t>
      </w:r>
      <w:r>
        <w:rPr>
          <w:rFonts w:hint="eastAsia" w:eastAsia="方正小标宋_GBK"/>
          <w:sz w:val="36"/>
          <w:szCs w:val="36"/>
          <w:lang w:val="en-US" w:eastAsia="zh-CN"/>
        </w:rPr>
        <w:t>敦颐高级中学</w:t>
      </w:r>
      <w:r>
        <w:rPr>
          <w:rFonts w:hint="eastAsia" w:eastAsia="方正小标宋_GBK"/>
          <w:sz w:val="36"/>
          <w:szCs w:val="36"/>
        </w:rPr>
        <w:t>部门整体支出</w:t>
      </w:r>
    </w:p>
    <w:p>
      <w:pPr>
        <w:adjustRightInd w:val="0"/>
        <w:spacing w:line="600" w:lineRule="exact"/>
        <w:jc w:val="center"/>
        <w:rPr>
          <w:rFonts w:eastAsia="方正小标宋_GBK"/>
          <w:sz w:val="36"/>
          <w:szCs w:val="36"/>
        </w:rPr>
      </w:pPr>
      <w:r>
        <w:rPr>
          <w:rFonts w:hint="eastAsia" w:eastAsia="方正小标宋_GBK"/>
          <w:sz w:val="36"/>
          <w:szCs w:val="36"/>
        </w:rPr>
        <w:t>绩效评价报告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80" w:lineRule="exact"/>
        <w:ind w:firstLine="640" w:firstLineChars="200"/>
        <w:textAlignment w:val="auto"/>
        <w:rPr>
          <w:rFonts w:hint="eastAsia" w:ascii="Times New Roman" w:hAnsi="Times New Roman" w:eastAsia="仿宋_GB2312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/>
          <w:color w:val="auto"/>
          <w:sz w:val="32"/>
          <w:szCs w:val="32"/>
          <w:lang w:val="en-US" w:eastAsia="zh-CN"/>
        </w:rPr>
        <w:t>一、基本情况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80" w:lineRule="exact"/>
        <w:ind w:firstLine="640" w:firstLineChars="200"/>
        <w:textAlignment w:val="auto"/>
        <w:rPr>
          <w:rFonts w:hint="eastAsia" w:ascii="Times New Roman" w:hAnsi="Times New Roman" w:eastAsia="仿宋_GB2312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/>
          <w:color w:val="auto"/>
          <w:sz w:val="32"/>
          <w:szCs w:val="32"/>
          <w:lang w:val="en-US" w:eastAsia="zh-CN"/>
        </w:rPr>
        <w:t>（一）部门基本情况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80" w:lineRule="exact"/>
        <w:ind w:firstLine="640" w:firstLineChars="200"/>
        <w:textAlignment w:val="auto"/>
        <w:rPr>
          <w:rFonts w:hint="eastAsia" w:ascii="Times New Roman" w:hAnsi="Times New Roman" w:eastAsia="仿宋_GB2312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/>
          <w:color w:val="auto"/>
          <w:sz w:val="32"/>
          <w:szCs w:val="32"/>
          <w:lang w:val="en-US" w:eastAsia="zh-CN"/>
        </w:rPr>
        <w:t>道县敦颐高级中学于2020年建校，地址位于道县潇水南路207国道旁，是一所公办普通高中学校。主要职能：培养专门人才和发展科学知识。涉及教育与教学。服务于社会的发展，承担着文化的传承和创新的重要工作。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80" w:lineRule="exact"/>
        <w:ind w:firstLine="640" w:firstLineChars="200"/>
        <w:textAlignment w:val="auto"/>
        <w:rPr>
          <w:rFonts w:hint="eastAsia" w:ascii="Times New Roman" w:hAnsi="Times New Roman" w:eastAsia="仿宋_GB2312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/>
          <w:color w:val="auto"/>
          <w:sz w:val="32"/>
          <w:szCs w:val="32"/>
          <w:lang w:val="en-US" w:eastAsia="zh-CN"/>
        </w:rPr>
        <w:t>（二）部门整体支出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80" w:lineRule="exact"/>
        <w:ind w:firstLine="640" w:firstLineChars="200"/>
        <w:textAlignment w:val="auto"/>
        <w:rPr>
          <w:rFonts w:hint="eastAsia" w:ascii="Times New Roman" w:hAnsi="Times New Roman" w:eastAsia="仿宋_GB2312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/>
          <w:color w:val="auto"/>
          <w:sz w:val="32"/>
          <w:szCs w:val="32"/>
          <w:lang w:val="en-US" w:eastAsia="zh-CN"/>
        </w:rPr>
        <w:t>年度预算申请金额：全年预算数6254.43万元，全年执行数4194.34万元。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80" w:lineRule="exact"/>
        <w:ind w:firstLine="640" w:firstLineChars="200"/>
        <w:textAlignment w:val="auto"/>
        <w:rPr>
          <w:rFonts w:hint="eastAsia" w:ascii="Times New Roman" w:hAnsi="Times New Roman" w:eastAsia="仿宋_GB2312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/>
          <w:color w:val="auto"/>
          <w:sz w:val="32"/>
          <w:szCs w:val="32"/>
          <w:lang w:val="en-US" w:eastAsia="zh-CN"/>
        </w:rPr>
        <w:t>二、一般公共预算支出情况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80" w:lineRule="exact"/>
        <w:ind w:firstLine="640" w:firstLineChars="200"/>
        <w:textAlignment w:val="auto"/>
        <w:rPr>
          <w:rFonts w:hint="eastAsia" w:ascii="Times New Roman" w:hAnsi="Times New Roman" w:eastAsia="仿宋_GB2312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/>
          <w:color w:val="auto"/>
          <w:sz w:val="32"/>
          <w:szCs w:val="32"/>
          <w:lang w:val="en-US" w:eastAsia="zh-CN"/>
        </w:rPr>
        <w:t>基本支出情况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80" w:lineRule="exact"/>
        <w:ind w:firstLine="640" w:firstLineChars="200"/>
        <w:textAlignment w:val="auto"/>
        <w:rPr>
          <w:rFonts w:hint="eastAsia" w:ascii="Times New Roman" w:hAnsi="Times New Roman" w:eastAsia="仿宋_GB2312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/>
          <w:color w:val="auto"/>
          <w:sz w:val="32"/>
          <w:szCs w:val="32"/>
          <w:lang w:val="en-US" w:eastAsia="zh-CN"/>
        </w:rPr>
        <w:t>人员经费：248位老师在编，人员经费为32271768.08元。上年度为21098345.82元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80" w:lineRule="exact"/>
        <w:ind w:firstLine="640" w:firstLineChars="200"/>
        <w:textAlignment w:val="auto"/>
        <w:rPr>
          <w:rFonts w:hint="eastAsia" w:ascii="Times New Roman" w:hAnsi="Times New Roman" w:eastAsia="仿宋_GB2312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/>
          <w:color w:val="auto"/>
          <w:sz w:val="32"/>
          <w:szCs w:val="32"/>
          <w:lang w:val="en-US" w:eastAsia="zh-CN"/>
        </w:rPr>
        <w:t>公用经费：公用经费为2854875.13元，其中公用经费包含学生生均经费，寄宿生水电费，学生人数为3310人，寄宿生2528人。上年度为11128196.20元。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80" w:lineRule="exact"/>
        <w:ind w:firstLine="640" w:firstLineChars="200"/>
        <w:textAlignment w:val="auto"/>
        <w:rPr>
          <w:rFonts w:hint="eastAsia" w:ascii="Times New Roman" w:hAnsi="Times New Roman" w:eastAsia="仿宋_GB2312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/>
          <w:color w:val="auto"/>
          <w:sz w:val="32"/>
          <w:szCs w:val="32"/>
          <w:lang w:val="en-US" w:eastAsia="zh-CN"/>
        </w:rPr>
        <w:t>三、政府性基金预算支出情况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80" w:lineRule="exact"/>
        <w:ind w:firstLine="640" w:firstLineChars="200"/>
        <w:textAlignment w:val="auto"/>
        <w:rPr>
          <w:rFonts w:hint="eastAsia" w:ascii="Times New Roman" w:hAnsi="Times New Roman" w:eastAsia="仿宋_GB2312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/>
          <w:color w:val="auto"/>
          <w:sz w:val="32"/>
          <w:szCs w:val="32"/>
          <w:lang w:val="en-US" w:eastAsia="zh-CN"/>
        </w:rPr>
        <w:t>无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80" w:lineRule="exact"/>
        <w:ind w:firstLine="640" w:firstLineChars="200"/>
        <w:textAlignment w:val="auto"/>
        <w:rPr>
          <w:rFonts w:hint="eastAsia" w:ascii="Times New Roman" w:hAnsi="Times New Roman" w:eastAsia="仿宋_GB2312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/>
          <w:color w:val="auto"/>
          <w:sz w:val="32"/>
          <w:szCs w:val="32"/>
          <w:lang w:val="en-US" w:eastAsia="zh-CN"/>
        </w:rPr>
        <w:t>四、国有资本经营预算支出情况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80" w:lineRule="exact"/>
        <w:ind w:firstLine="640" w:firstLineChars="200"/>
        <w:textAlignment w:val="auto"/>
        <w:rPr>
          <w:rFonts w:hint="eastAsia" w:ascii="Times New Roman" w:hAnsi="Times New Roman" w:eastAsia="仿宋_GB2312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/>
          <w:color w:val="auto"/>
          <w:sz w:val="32"/>
          <w:szCs w:val="32"/>
          <w:lang w:val="en-US" w:eastAsia="zh-CN"/>
        </w:rPr>
        <w:t>无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80" w:lineRule="exact"/>
        <w:ind w:firstLine="640" w:firstLineChars="200"/>
        <w:textAlignment w:val="auto"/>
        <w:rPr>
          <w:rFonts w:hint="eastAsia" w:ascii="Times New Roman" w:hAnsi="Times New Roman" w:eastAsia="仿宋_GB2312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/>
          <w:color w:val="auto"/>
          <w:sz w:val="32"/>
          <w:szCs w:val="32"/>
          <w:lang w:val="en-US" w:eastAsia="zh-CN"/>
        </w:rPr>
        <w:t>五、社会保险基金预算支出情况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80" w:lineRule="exact"/>
        <w:ind w:firstLine="640" w:firstLineChars="200"/>
        <w:textAlignment w:val="auto"/>
        <w:rPr>
          <w:rFonts w:hint="eastAsia" w:ascii="Times New Roman" w:hAnsi="Times New Roman" w:eastAsia="仿宋_GB2312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/>
          <w:color w:val="auto"/>
          <w:sz w:val="32"/>
          <w:szCs w:val="32"/>
          <w:lang w:val="en-US" w:eastAsia="zh-CN"/>
        </w:rPr>
        <w:t>无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80" w:lineRule="exact"/>
        <w:ind w:firstLine="640" w:firstLineChars="200"/>
        <w:textAlignment w:val="auto"/>
        <w:rPr>
          <w:rFonts w:hint="eastAsia" w:ascii="Times New Roman" w:hAnsi="Times New Roman" w:eastAsia="仿宋_GB2312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/>
          <w:color w:val="auto"/>
          <w:sz w:val="32"/>
          <w:szCs w:val="32"/>
          <w:lang w:val="en-US" w:eastAsia="zh-CN"/>
        </w:rPr>
        <w:t>六、部门整体支出绩效情况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80" w:lineRule="exact"/>
        <w:ind w:firstLine="640" w:firstLineChars="200"/>
        <w:textAlignment w:val="auto"/>
        <w:rPr>
          <w:rFonts w:hint="eastAsia" w:ascii="Times New Roman" w:hAnsi="Times New Roman" w:eastAsia="仿宋_GB2312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/>
          <w:color w:val="auto"/>
          <w:sz w:val="32"/>
          <w:szCs w:val="32"/>
          <w:lang w:val="en-US" w:eastAsia="zh-CN"/>
        </w:rPr>
        <w:t>目前学校资金来源主要是补贴的生均经费，生均经费用于学校的日常水电，维修管理，印刷费，办公费等日常支出类项目。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80" w:lineRule="exact"/>
        <w:ind w:firstLine="640" w:firstLineChars="200"/>
        <w:textAlignment w:val="auto"/>
        <w:rPr>
          <w:rFonts w:hint="eastAsia" w:ascii="Times New Roman" w:hAnsi="Times New Roman" w:eastAsia="仿宋_GB2312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/>
          <w:color w:val="auto"/>
          <w:sz w:val="32"/>
          <w:szCs w:val="32"/>
          <w:lang w:val="en-US" w:eastAsia="zh-CN"/>
        </w:rPr>
        <w:t>我校积极履职，强化管理，较好的完成了年度工作目标。已按照规定完成了相关的绩效目标和整体支出绩效目标。财政供养人员情况248人，实际在岗情况为248人，其中编制为248人。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80" w:lineRule="exact"/>
        <w:ind w:firstLine="640" w:firstLineChars="200"/>
        <w:textAlignment w:val="auto"/>
        <w:rPr>
          <w:rFonts w:hint="eastAsia" w:ascii="Times New Roman" w:hAnsi="Times New Roman" w:eastAsia="仿宋_GB2312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/>
          <w:color w:val="auto"/>
          <w:sz w:val="32"/>
          <w:szCs w:val="32"/>
          <w:lang w:val="en-US" w:eastAsia="zh-CN"/>
        </w:rPr>
        <w:t>2024年决算数据为5206.78万元，25年数据为4194.34万元。符合要</w:t>
      </w:r>
      <w:bookmarkStart w:id="1" w:name="_GoBack"/>
      <w:bookmarkEnd w:id="1"/>
      <w:r>
        <w:rPr>
          <w:rFonts w:hint="eastAsia" w:ascii="Times New Roman" w:hAnsi="Times New Roman" w:eastAsia="仿宋_GB2312"/>
          <w:color w:val="auto"/>
          <w:sz w:val="32"/>
          <w:szCs w:val="32"/>
          <w:lang w:val="en-US" w:eastAsia="zh-CN"/>
        </w:rPr>
        <w:t>求，无偏差。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80" w:lineRule="exact"/>
        <w:ind w:firstLine="640" w:firstLineChars="200"/>
        <w:textAlignment w:val="auto"/>
        <w:rPr>
          <w:rFonts w:hint="eastAsia" w:ascii="Times New Roman" w:hAnsi="Times New Roman" w:eastAsia="仿宋_GB2312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/>
          <w:color w:val="auto"/>
          <w:sz w:val="32"/>
          <w:szCs w:val="32"/>
          <w:lang w:val="en-US" w:eastAsia="zh-CN"/>
        </w:rPr>
        <w:t>教学过程满足学生要求，进行学生活动开展，开展演讲比赛活动，文艺汇演，元旦晚会，运动会等各类活动。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80" w:lineRule="exact"/>
        <w:ind w:firstLine="640" w:firstLineChars="200"/>
        <w:textAlignment w:val="auto"/>
        <w:rPr>
          <w:rFonts w:hint="eastAsia" w:ascii="Times New Roman" w:hAnsi="Times New Roman" w:eastAsia="仿宋_GB2312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/>
          <w:color w:val="auto"/>
          <w:sz w:val="32"/>
          <w:szCs w:val="32"/>
          <w:lang w:val="en-US" w:eastAsia="zh-CN"/>
        </w:rPr>
        <w:t>七、存在的问题及原因分析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80" w:lineRule="exact"/>
        <w:ind w:firstLine="640" w:firstLineChars="200"/>
        <w:textAlignment w:val="auto"/>
        <w:rPr>
          <w:rFonts w:hint="eastAsia" w:ascii="Times New Roman" w:hAnsi="Times New Roman" w:eastAsia="仿宋_GB2312"/>
          <w:color w:val="auto"/>
          <w:sz w:val="32"/>
          <w:szCs w:val="32"/>
          <w:lang w:val="en-US" w:eastAsia="zh-CN"/>
        </w:rPr>
      </w:pPr>
      <w:bookmarkStart w:id="0" w:name="OLE_LINK9"/>
      <w:r>
        <w:rPr>
          <w:rFonts w:hint="eastAsia" w:ascii="Times New Roman" w:hAnsi="Times New Roman" w:eastAsia="仿宋_GB2312"/>
          <w:color w:val="auto"/>
          <w:sz w:val="32"/>
          <w:szCs w:val="32"/>
          <w:lang w:val="en-US" w:eastAsia="zh-CN"/>
        </w:rPr>
        <w:t>全年预算数略微大于全年执行数，原因在于预算过程中，数据估算不准确，实际执行过程中，有部分资金未使用。主要是其他资金无法准确预算。</w:t>
      </w:r>
      <w:bookmarkEnd w:id="0"/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80" w:lineRule="exact"/>
        <w:ind w:firstLine="640" w:firstLineChars="200"/>
        <w:textAlignment w:val="auto"/>
        <w:rPr>
          <w:rFonts w:hint="eastAsia" w:ascii="Times New Roman" w:hAnsi="Times New Roman" w:eastAsia="仿宋_GB2312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/>
          <w:color w:val="auto"/>
          <w:sz w:val="32"/>
          <w:szCs w:val="32"/>
          <w:lang w:val="en-US" w:eastAsia="zh-CN"/>
        </w:rPr>
        <w:t>八、下一步改进措施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80" w:lineRule="exact"/>
        <w:ind w:firstLine="640" w:firstLineChars="200"/>
        <w:textAlignment w:val="auto"/>
        <w:rPr>
          <w:rFonts w:hint="eastAsia" w:ascii="Times New Roman" w:hAnsi="Times New Roman" w:eastAsia="仿宋_GB2312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/>
          <w:color w:val="auto"/>
          <w:sz w:val="32"/>
          <w:szCs w:val="32"/>
          <w:lang w:val="en-US" w:eastAsia="zh-CN"/>
        </w:rPr>
        <w:t>进行预算时各个部门讨论，计划下一年度的具体事项，进行合理预算。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80" w:lineRule="exact"/>
        <w:ind w:firstLine="640" w:firstLineChars="200"/>
        <w:textAlignment w:val="auto"/>
        <w:rPr>
          <w:rFonts w:hint="eastAsia" w:ascii="Times New Roman" w:hAnsi="Times New Roman" w:eastAsia="仿宋_GB2312"/>
          <w:color w:val="auto"/>
          <w:sz w:val="32"/>
          <w:szCs w:val="32"/>
          <w:lang w:val="en-US" w:eastAsia="zh-CN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U5ZWU0YzczYzJkMDE3YjZmMDc5NDdmMGMyNzhjNDYifQ=="/>
  </w:docVars>
  <w:rsids>
    <w:rsidRoot w:val="00000000"/>
    <w:rsid w:val="30593045"/>
    <w:rsid w:val="557A70C9"/>
    <w:rsid w:val="6E574533"/>
    <w:rsid w:val="7DB11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Default"/>
    <w:qFormat/>
    <w:uiPriority w:val="0"/>
    <w:pPr>
      <w:widowControl w:val="0"/>
      <w:autoSpaceDE w:val="0"/>
      <w:autoSpaceDN w:val="0"/>
      <w:adjustRightInd w:val="0"/>
    </w:pPr>
    <w:rPr>
      <w:rFonts w:ascii="黑体" w:eastAsia="黑体" w:cs="黑体" w:hAnsiTheme="minorHAnsi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650</Words>
  <Characters>747</Characters>
  <Lines>0</Lines>
  <Paragraphs>0</Paragraphs>
  <TotalTime>2</TotalTime>
  <ScaleCrop>false</ScaleCrop>
  <LinksUpToDate>false</LinksUpToDate>
  <CharactersWithSpaces>747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2026-09-08T14:25:00Z</dcterms:created>
  <dc:creator>Administrator</dc:creator>
  <cp:lastModifiedBy>水蜜桃</cp:lastModifiedBy>
  <dcterms:modified xsi:type="dcterms:W3CDTF">2026-09-15T00:46:41Z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KSOTemplateDocerSaveRecord">
    <vt:lpwstr>eyJoZGlkIjoiNmFiMThiNzFkNjI5NzM1ZjUxOGZhOGI5ZmViNTRhZmIiLCJ1c2VySWQiOiIyOTgwMTk1NDcifQ==</vt:lpwstr>
  </property>
  <property fmtid="{D5CDD505-2E9C-101B-9397-08002B2CF9AE}" pid="4" name="ICV">
    <vt:lpwstr>7968CF2998C8422E9D9A5D7F66B9BD16_12</vt:lpwstr>
  </property>
</Properties>
</file>