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永州市工业贸易中等专业学校</w:t>
      </w: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tabs>
          <w:tab w:val="left" w:pos="1683"/>
        </w:tabs>
        <w:jc w:val="left"/>
        <w:rPr>
          <w:rFonts w:hint="eastAsia" w:eastAsiaTheme="minorEastAsia"/>
          <w:lang w:eastAsia="zh-CN"/>
        </w:rPr>
        <w:sectPr>
          <w:footerReference r:id="rId3" w:type="default"/>
          <w:pgSz w:w="11906" w:h="16838"/>
          <w:pgMar w:top="1417" w:right="1588" w:bottom="1417" w:left="1588" w:header="851" w:footer="992" w:gutter="0"/>
          <w:pgNumType w:start="1"/>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部门（单位）概况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永州市工业贸易中等专业学校</w:t>
      </w:r>
      <w:r>
        <w:rPr>
          <w:rFonts w:ascii="Times New Roman" w:hAnsi="Times New Roman" w:eastAsia="方正小标宋_GBK" w:cs="Times New Roman"/>
          <w:sz w:val="52"/>
          <w:szCs w:val="52"/>
        </w:rPr>
        <w:t>概况</w:t>
      </w:r>
    </w:p>
    <w:p>
      <w:pPr>
        <w:pStyle w:val="2"/>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ind w:firstLine="800" w:firstLineChars="250"/>
        <w:jc w:val="left"/>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永州市工业贸易中等专业学校（简称“永州工贸学校”）是道县人民政府主办的中等职业学校，是国家级重点中等职业学校、国家中等职业教育改革发展示范学校、首批湖南省卓越中等职业学校。2017 年 5 月，永州市委以我校为载体创建了永州市农村党员和青年农民培训中心。2019 年 3 月，经湖南省人社厅批准，在我校寿雁校区设立了道州技工学校。2021 年获评“省级乡村振兴人才培养优质校”。</w:t>
      </w:r>
      <w:r>
        <w:rPr>
          <w:rFonts w:hint="eastAsia" w:ascii="Times New Roman" w:hAnsi="Times New Roman" w:eastAsia="仿宋_GB2312" w:cs="仿宋_GB2312"/>
          <w:sz w:val="32"/>
          <w:szCs w:val="32"/>
          <w:lang w:val="en-US" w:eastAsia="zh-CN"/>
        </w:rPr>
        <w:t>2022年，学校被省教育厅授予“关工委先进工作典型”荣誉称号。2024年5月，道州技工学校被湖南省人社厅评为“湖南省2024年第一批专项职业能力考核站”。</w:t>
      </w:r>
    </w:p>
    <w:p>
      <w:pPr>
        <w:pStyle w:val="2"/>
        <w:ind w:left="0" w:leftChars="0" w:firstLine="640" w:firstLineChars="200"/>
        <w:rPr>
          <w:rFonts w:hint="eastAsia"/>
        </w:rPr>
      </w:pPr>
      <w:r>
        <w:rPr>
          <w:rFonts w:hint="eastAsia" w:ascii="Times New Roman" w:hAnsi="Times New Roman" w:eastAsia="仿宋_GB2312" w:cs="仿宋_GB2312"/>
          <w:kern w:val="2"/>
          <w:sz w:val="32"/>
          <w:szCs w:val="32"/>
          <w:lang w:val="en-US" w:eastAsia="zh-CN" w:bidi="ar-SA"/>
        </w:rPr>
        <w:t>部门职能主要是培养大、中专学历人才，培养中、高级技术应用人才，中等专业技术教育、教学、科研、相关职业培训。</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hint="eastAsia" w:ascii="Times New Roman" w:hAnsi="Times New Roman" w:eastAsia="仿宋_GB2312" w:cs="仿宋_GB2312"/>
          <w:bCs/>
          <w:kern w:val="0"/>
          <w:sz w:val="32"/>
          <w:szCs w:val="32"/>
        </w:rPr>
      </w:pPr>
      <w:r>
        <w:rPr>
          <w:rFonts w:ascii="Times New Roman" w:hAnsi="Times New Roman" w:eastAsia="仿宋_GB2312" w:cs="Times New Roman"/>
          <w:bCs/>
          <w:kern w:val="0"/>
          <w:sz w:val="32"/>
          <w:szCs w:val="32"/>
        </w:rPr>
        <w:t>（一）</w:t>
      </w:r>
      <w:r>
        <w:rPr>
          <w:rFonts w:hint="eastAsia" w:ascii="Times New Roman" w:hAnsi="Times New Roman" w:eastAsia="仿宋_GB2312" w:cs="仿宋_GB2312"/>
          <w:bCs/>
          <w:kern w:val="0"/>
          <w:sz w:val="32"/>
          <w:szCs w:val="32"/>
        </w:rPr>
        <w:t>内设机构设置。</w:t>
      </w:r>
      <w:r>
        <w:rPr>
          <w:rFonts w:hint="eastAsia" w:ascii="Times New Roman" w:hAnsi="Times New Roman" w:eastAsia="仿宋_GB2312" w:cs="仿宋_GB2312"/>
          <w:bCs/>
          <w:kern w:val="0"/>
          <w:sz w:val="32"/>
          <w:szCs w:val="32"/>
          <w:lang w:eastAsia="zh-CN"/>
        </w:rPr>
        <w:t>永州市工业贸易中等专业学校</w:t>
      </w:r>
      <w:r>
        <w:rPr>
          <w:rFonts w:hint="eastAsia" w:ascii="Times New Roman" w:hAnsi="Times New Roman" w:eastAsia="仿宋_GB2312" w:cs="仿宋_GB2312"/>
          <w:bCs/>
          <w:kern w:val="0"/>
          <w:sz w:val="32"/>
          <w:szCs w:val="32"/>
        </w:rPr>
        <w:t>单位内设机构包括：办公室、教务科、科技科、学生科、保卫科、总务科、招生就业办公室、培训联络科、新闻宣传科和人事人才科10个职能科室。分寿雁和城北两个校区，三个年级。</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w:t>
      </w:r>
      <w:r>
        <w:rPr>
          <w:rFonts w:hint="eastAsia" w:ascii="Times New Roman" w:hAnsi="Times New Roman" w:eastAsia="仿宋_GB2312" w:cs="仿宋_GB2312"/>
          <w:bCs/>
          <w:kern w:val="0"/>
          <w:sz w:val="32"/>
          <w:szCs w:val="32"/>
        </w:rPr>
        <w:t>决算单位构成。</w:t>
      </w:r>
      <w:r>
        <w:rPr>
          <w:rFonts w:hint="eastAsia" w:ascii="Times New Roman" w:hAnsi="Times New Roman" w:eastAsia="仿宋_GB2312" w:cs="仿宋_GB2312"/>
          <w:bCs/>
          <w:kern w:val="0"/>
          <w:sz w:val="32"/>
          <w:szCs w:val="32"/>
          <w:lang w:eastAsia="zh-CN"/>
        </w:rPr>
        <w:t>永州市工业贸易中等专业学校</w:t>
      </w:r>
      <w:r>
        <w:rPr>
          <w:rFonts w:hint="eastAsia" w:ascii="Times New Roman" w:hAnsi="Times New Roman" w:eastAsia="仿宋_GB2312" w:cs="仿宋_GB2312"/>
          <w:bCs/>
          <w:kern w:val="0"/>
          <w:sz w:val="32"/>
          <w:szCs w:val="32"/>
        </w:rPr>
        <w:t>单位</w:t>
      </w:r>
      <w:r>
        <w:rPr>
          <w:rFonts w:hint="eastAsia" w:ascii="Times New Roman" w:hAnsi="Times New Roman" w:eastAsia="仿宋_GB2312" w:cs="仿宋_GB2312"/>
          <w:bCs/>
          <w:kern w:val="0"/>
          <w:sz w:val="32"/>
          <w:szCs w:val="32"/>
          <w:lang w:eastAsia="zh-CN"/>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lang w:eastAsia="zh-CN"/>
        </w:rPr>
        <w:t>年</w:t>
      </w:r>
      <w:r>
        <w:rPr>
          <w:rFonts w:hint="eastAsia" w:ascii="Times New Roman" w:hAnsi="Times New Roman" w:eastAsia="仿宋_GB2312" w:cs="仿宋_GB2312"/>
          <w:bCs/>
          <w:kern w:val="0"/>
          <w:sz w:val="32"/>
          <w:szCs w:val="32"/>
        </w:rPr>
        <w:t>部门决算汇总公开单位构成包括：</w:t>
      </w:r>
      <w:r>
        <w:rPr>
          <w:rFonts w:hint="eastAsia" w:ascii="Times New Roman" w:hAnsi="Times New Roman" w:eastAsia="仿宋_GB2312" w:cs="仿宋_GB2312"/>
          <w:bCs/>
          <w:kern w:val="0"/>
          <w:sz w:val="32"/>
          <w:szCs w:val="32"/>
          <w:lang w:eastAsia="zh-CN"/>
        </w:rPr>
        <w:t>永州市工业贸易中等专业学校</w:t>
      </w:r>
      <w:r>
        <w:rPr>
          <w:rFonts w:hint="eastAsia" w:ascii="Times New Roman" w:hAnsi="Times New Roman" w:eastAsia="仿宋_GB2312" w:cs="仿宋_GB2312"/>
          <w:bCs/>
          <w:kern w:val="0"/>
          <w:sz w:val="32"/>
          <w:szCs w:val="32"/>
        </w:rPr>
        <w:t>单位本级</w:t>
      </w:r>
      <w:r>
        <w:rPr>
          <w:rFonts w:hint="eastAsia" w:ascii="Times New Roman" w:hAnsi="Times New Roman" w:eastAsia="仿宋_GB2312" w:cs="仿宋_GB2312"/>
          <w:bCs/>
          <w:kern w:val="0"/>
          <w:sz w:val="32"/>
          <w:szCs w:val="32"/>
          <w:lang w:eastAsia="zh-CN"/>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Ind w:w="0" w:type="dxa"/>
        <w:tblLayout w:type="fixed"/>
        <w:tblCellMar>
          <w:top w:w="0" w:type="dxa"/>
          <w:left w:w="108" w:type="dxa"/>
          <w:bottom w:w="0" w:type="dxa"/>
          <w:right w:w="108" w:type="dxa"/>
        </w:tblCellMar>
      </w:tblPr>
      <w:tblGrid>
        <w:gridCol w:w="5762"/>
        <w:gridCol w:w="850"/>
        <w:gridCol w:w="1291"/>
        <w:gridCol w:w="4851"/>
        <w:gridCol w:w="850"/>
        <w:gridCol w:w="1292"/>
      </w:tblGrid>
      <w:tr>
        <w:tblPrEx>
          <w:tblLayout w:type="fixed"/>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9032.74</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440.44</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9642.89</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169.71</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9642.89</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9642.89</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9642.89</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9642.89</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Ind w:w="0" w:type="dxa"/>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Layout w:type="fixed"/>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Layout w:type="fixed"/>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Layout w:type="fixed"/>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Layout w:type="fixed"/>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Layout w:type="fixed"/>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lang w:val="en-US" w:eastAsia="zh-CN"/>
              </w:rPr>
              <w:t>9642.89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9032.74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440.44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169.71</w:t>
            </w: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2050302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lang w:eastAsia="zh-CN"/>
              </w:rPr>
              <w:t>中等职业教育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lang w:val="en-US" w:eastAsia="zh-CN"/>
              </w:rPr>
              <w:t>9642.89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9032.74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440.44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169.71</w:t>
            </w: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14214" w:type="dxa"/>
        <w:jc w:val="center"/>
        <w:tblInd w:w="0" w:type="dxa"/>
        <w:tblLayout w:type="fixed"/>
        <w:tblCellMar>
          <w:top w:w="0" w:type="dxa"/>
          <w:left w:w="108" w:type="dxa"/>
          <w:bottom w:w="0" w:type="dxa"/>
          <w:right w:w="108" w:type="dxa"/>
        </w:tblCellMar>
      </w:tblPr>
      <w:tblGrid>
        <w:gridCol w:w="2424"/>
        <w:gridCol w:w="1485"/>
        <w:gridCol w:w="1729"/>
        <w:gridCol w:w="1334"/>
        <w:gridCol w:w="1334"/>
        <w:gridCol w:w="1877"/>
        <w:gridCol w:w="1334"/>
        <w:gridCol w:w="2697"/>
      </w:tblGrid>
      <w:tr>
        <w:tblPrEx>
          <w:tblLayout w:type="fixed"/>
          <w:tblCellMar>
            <w:top w:w="0" w:type="dxa"/>
            <w:left w:w="108" w:type="dxa"/>
            <w:bottom w:w="0" w:type="dxa"/>
            <w:right w:w="108" w:type="dxa"/>
          </w:tblCellMar>
        </w:tblPrEx>
        <w:trPr>
          <w:trHeight w:val="595" w:hRule="atLeast"/>
          <w:jc w:val="center"/>
        </w:trPr>
        <w:tc>
          <w:tcPr>
            <w:tcW w:w="3909"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72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Layout w:type="fixed"/>
          <w:tblCellMar>
            <w:top w:w="0" w:type="dxa"/>
            <w:left w:w="108" w:type="dxa"/>
            <w:bottom w:w="0" w:type="dxa"/>
            <w:right w:w="108" w:type="dxa"/>
          </w:tblCellMar>
        </w:tblPrEx>
        <w:trPr>
          <w:trHeight w:val="312" w:hRule="exact"/>
          <w:jc w:val="center"/>
        </w:trPr>
        <w:tc>
          <w:tcPr>
            <w:tcW w:w="24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85"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72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242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48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72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390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729"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Layout w:type="fixed"/>
          <w:tblCellMar>
            <w:top w:w="0" w:type="dxa"/>
            <w:left w:w="108" w:type="dxa"/>
            <w:bottom w:w="0" w:type="dxa"/>
            <w:right w:w="108" w:type="dxa"/>
          </w:tblCellMar>
        </w:tblPrEx>
        <w:trPr>
          <w:trHeight w:val="595" w:hRule="atLeast"/>
          <w:jc w:val="center"/>
        </w:trPr>
        <w:tc>
          <w:tcPr>
            <w:tcW w:w="390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7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9642.89</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8635.13</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1007.76</w:t>
            </w:r>
            <w:r>
              <w:rPr>
                <w:rFonts w:ascii="Times New Roman" w:hAnsi="Times New Roman" w:eastAsia="仿宋_GB2312" w:cs="Times New Roman"/>
                <w:kern w:val="0"/>
                <w:sz w:val="24"/>
                <w:szCs w:val="24"/>
              </w:rPr>
              <w:t>　</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2050302</w:t>
            </w:r>
          </w:p>
        </w:tc>
        <w:tc>
          <w:tcPr>
            <w:tcW w:w="1485" w:type="dxa"/>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lang w:eastAsia="zh-CN"/>
              </w:rPr>
              <w:t>中等职业教育</w:t>
            </w:r>
            <w:r>
              <w:rPr>
                <w:rFonts w:ascii="Times New Roman" w:hAnsi="Times New Roman" w:eastAsia="仿宋_GB2312" w:cs="Times New Roman"/>
                <w:kern w:val="0"/>
                <w:sz w:val="24"/>
                <w:szCs w:val="24"/>
              </w:rPr>
              <w:t>　</w:t>
            </w:r>
          </w:p>
        </w:tc>
        <w:tc>
          <w:tcPr>
            <w:tcW w:w="17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9642.89</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8635.13</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1007.76</w:t>
            </w:r>
            <w:r>
              <w:rPr>
                <w:rFonts w:ascii="Times New Roman" w:hAnsi="Times New Roman" w:eastAsia="仿宋_GB2312" w:cs="Times New Roman"/>
                <w:kern w:val="0"/>
                <w:sz w:val="24"/>
                <w:szCs w:val="24"/>
              </w:rPr>
              <w:t>　</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85" w:type="dxa"/>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85" w:type="dxa"/>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85" w:type="dxa"/>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85" w:type="dxa"/>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85" w:type="dxa"/>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220" w:type="dxa"/>
        <w:jc w:val="center"/>
        <w:tblInd w:w="0" w:type="dxa"/>
        <w:tblLayout w:type="fixed"/>
        <w:tblCellMar>
          <w:top w:w="0" w:type="dxa"/>
          <w:left w:w="108" w:type="dxa"/>
          <w:bottom w:w="0" w:type="dxa"/>
          <w:right w:w="108" w:type="dxa"/>
        </w:tblCellMar>
      </w:tblPr>
      <w:tblGrid>
        <w:gridCol w:w="3516"/>
        <w:gridCol w:w="616"/>
        <w:gridCol w:w="968"/>
        <w:gridCol w:w="2364"/>
        <w:gridCol w:w="616"/>
        <w:gridCol w:w="1040"/>
        <w:gridCol w:w="1764"/>
        <w:gridCol w:w="1908"/>
        <w:gridCol w:w="1428"/>
      </w:tblGrid>
      <w:tr>
        <w:tblPrEx>
          <w:tblLayout w:type="fixed"/>
          <w:tblCellMar>
            <w:top w:w="0" w:type="dxa"/>
            <w:left w:w="108" w:type="dxa"/>
            <w:bottom w:w="0" w:type="dxa"/>
            <w:right w:w="108" w:type="dxa"/>
          </w:tblCellMar>
        </w:tblPrEx>
        <w:trPr>
          <w:trHeight w:val="402" w:hRule="atLeast"/>
          <w:jc w:val="center"/>
        </w:trPr>
        <w:tc>
          <w:tcPr>
            <w:tcW w:w="510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120"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Layout w:type="fixed"/>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3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76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90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42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3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7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90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42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96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9032.74</w:t>
            </w:r>
            <w:r>
              <w:rPr>
                <w:rFonts w:ascii="Times New Roman" w:hAnsi="Times New Roman" w:eastAsia="仿宋_GB2312" w:cs="Times New Roman"/>
                <w:kern w:val="0"/>
                <w:sz w:val="22"/>
              </w:rPr>
              <w:t>　</w:t>
            </w:r>
          </w:p>
        </w:tc>
        <w:tc>
          <w:tcPr>
            <w:tcW w:w="236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0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96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6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0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96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6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0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96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6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0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96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6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9032.74</w:t>
            </w:r>
            <w:r>
              <w:rPr>
                <w:rFonts w:ascii="Times New Roman" w:hAnsi="Times New Roman" w:eastAsia="仿宋_GB2312" w:cs="Times New Roman"/>
                <w:kern w:val="0"/>
                <w:sz w:val="22"/>
              </w:rPr>
              <w:t>　</w:t>
            </w:r>
          </w:p>
        </w:tc>
        <w:tc>
          <w:tcPr>
            <w:tcW w:w="17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9032.74</w:t>
            </w:r>
            <w:r>
              <w:rPr>
                <w:rFonts w:ascii="Times New Roman" w:hAnsi="Times New Roman" w:eastAsia="仿宋_GB2312" w:cs="Times New Roman"/>
                <w:kern w:val="0"/>
                <w:sz w:val="22"/>
              </w:rPr>
              <w:t>　</w:t>
            </w:r>
          </w:p>
        </w:tc>
        <w:tc>
          <w:tcPr>
            <w:tcW w:w="190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96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6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96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6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96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6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3"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96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9032.74</w:t>
            </w:r>
            <w:r>
              <w:rPr>
                <w:rFonts w:ascii="Times New Roman" w:hAnsi="Times New Roman" w:eastAsia="仿宋_GB2312" w:cs="Times New Roman"/>
                <w:kern w:val="0"/>
                <w:sz w:val="22"/>
              </w:rPr>
              <w:t>　</w:t>
            </w:r>
          </w:p>
        </w:tc>
        <w:tc>
          <w:tcPr>
            <w:tcW w:w="23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040" w:type="dxa"/>
            <w:tcBorders>
              <w:top w:val="nil"/>
              <w:left w:val="nil"/>
              <w:bottom w:val="single" w:color="auto" w:sz="4" w:space="0"/>
              <w:right w:val="single" w:color="auto" w:sz="4" w:space="0"/>
            </w:tcBorders>
            <w:shd w:val="clear" w:color="auto" w:fill="auto"/>
            <w:noWrap/>
            <w:vAlign w:val="center"/>
          </w:tcPr>
          <w:p>
            <w:pPr>
              <w:widowControl/>
              <w:jc w:val="both"/>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9032.74</w:t>
            </w:r>
          </w:p>
        </w:tc>
        <w:tc>
          <w:tcPr>
            <w:tcW w:w="17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9032.74</w:t>
            </w:r>
            <w:r>
              <w:rPr>
                <w:rFonts w:ascii="Times New Roman" w:hAnsi="Times New Roman" w:eastAsia="仿宋_GB2312" w:cs="Times New Roman"/>
                <w:kern w:val="0"/>
                <w:sz w:val="22"/>
              </w:rPr>
              <w:t>　</w:t>
            </w:r>
          </w:p>
        </w:tc>
        <w:tc>
          <w:tcPr>
            <w:tcW w:w="190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96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0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96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6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0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96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6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0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96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6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0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96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9032.74</w:t>
            </w:r>
            <w:r>
              <w:rPr>
                <w:rFonts w:ascii="Times New Roman" w:hAnsi="Times New Roman" w:eastAsia="仿宋_GB2312" w:cs="Times New Roman"/>
                <w:kern w:val="0"/>
                <w:sz w:val="22"/>
              </w:rPr>
              <w:t>　</w:t>
            </w:r>
          </w:p>
        </w:tc>
        <w:tc>
          <w:tcPr>
            <w:tcW w:w="2364"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040"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9032.74</w:t>
            </w:r>
            <w:r>
              <w:rPr>
                <w:rFonts w:ascii="Times New Roman" w:hAnsi="Times New Roman" w:eastAsia="仿宋_GB2312" w:cs="Times New Roman"/>
                <w:kern w:val="0"/>
                <w:sz w:val="22"/>
              </w:rPr>
              <w:t>　</w:t>
            </w:r>
          </w:p>
        </w:tc>
        <w:tc>
          <w:tcPr>
            <w:tcW w:w="1764"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9032.74</w:t>
            </w:r>
            <w:r>
              <w:rPr>
                <w:rFonts w:ascii="Times New Roman" w:hAnsi="Times New Roman" w:eastAsia="仿宋_GB2312" w:cs="Times New Roman"/>
                <w:kern w:val="0"/>
                <w:sz w:val="22"/>
              </w:rPr>
              <w:t>　</w:t>
            </w:r>
          </w:p>
        </w:tc>
        <w:tc>
          <w:tcPr>
            <w:tcW w:w="19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42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Ind w:w="0" w:type="dxa"/>
        <w:tblLayout w:type="fixed"/>
        <w:tblCellMar>
          <w:top w:w="0" w:type="dxa"/>
          <w:left w:w="108" w:type="dxa"/>
          <w:bottom w:w="0" w:type="dxa"/>
          <w:right w:w="108" w:type="dxa"/>
        </w:tblCellMar>
      </w:tblPr>
      <w:tblGrid>
        <w:gridCol w:w="1200"/>
        <w:gridCol w:w="3527"/>
        <w:gridCol w:w="3000"/>
        <w:gridCol w:w="3492"/>
        <w:gridCol w:w="3000"/>
      </w:tblGrid>
      <w:tr>
        <w:tblPrEx>
          <w:tblLayout w:type="fixed"/>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Layout w:type="fixed"/>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Layout w:type="fixed"/>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Layout w:type="fixed"/>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9032.74</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val="en-US" w:eastAsia="zh-CN"/>
              </w:rPr>
              <w:t>8024.98</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1007.76</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2050302</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lang w:eastAsia="zh-CN"/>
              </w:rPr>
              <w:t>中等职业教育</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9032.74</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val="en-US" w:eastAsia="zh-CN"/>
              </w:rPr>
              <w:t>8024.98</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1007.76</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Ind w:w="0" w:type="dxa"/>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Layout w:type="fixed"/>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5875.99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1530.93</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2471.73</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76.29</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168.63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21.85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889.62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146.73</w:t>
            </w: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15.12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1520.72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76.35</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468.64</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109.99</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255.08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146.73</w:t>
            </w: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ind w:left="420" w:hanging="420" w:hangingChars="200"/>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42.25</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 xml:space="preserve"> 42.25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3.71</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130.95</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44.19</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0.69</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471.34</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11.18</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2.25</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14.14</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26.19</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4.9</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26.74</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630.65</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54.42</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20.64</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343.86</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135.90</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7.88</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105.12</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5.98</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13.5</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19.39</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139.91</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6347.33</w:t>
            </w:r>
            <w:r>
              <w:rPr>
                <w:rFonts w:ascii="Times New Roman" w:hAnsi="Times New Roman" w:eastAsia="仿宋_GB2312" w:cs="Times New Roman"/>
                <w:color w:val="000000"/>
                <w:kern w:val="0"/>
                <w:szCs w:val="20"/>
              </w:rPr>
              <w:t>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1677.65</w:t>
            </w:r>
            <w:r>
              <w:rPr>
                <w:rFonts w:ascii="Times New Roman" w:hAnsi="Times New Roman" w:eastAsia="仿宋_GB2312" w:cs="Times New Roman"/>
                <w:color w:val="000000"/>
                <w:kern w:val="0"/>
                <w:szCs w:val="18"/>
              </w:rPr>
              <w:t>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Ind w:w="0" w:type="dxa"/>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Layout w:type="fixed"/>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Layout w:type="fixed"/>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Layout w:type="fixed"/>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tblPrEx>
          <w:tblLayout w:type="fixed"/>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Layout w:type="fixed"/>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Layout w:type="fixed"/>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Layout w:type="fixed"/>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7"/>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14544" w:type="dxa"/>
        <w:jc w:val="center"/>
        <w:tblInd w:w="0" w:type="dxa"/>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Layout w:type="fixed"/>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Layout w:type="fixed"/>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Layout w:type="fixed"/>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Layout w:type="fixed"/>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 xml:space="preserve">19285.78 </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1239.48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6.87</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年一般公共预算财政拨款收入较上年相比增加</w:t>
      </w:r>
      <w:r>
        <w:rPr>
          <w:rFonts w:hint="eastAsia" w:ascii="Times New Roman" w:hAnsi="Times New Roman" w:eastAsia="仿宋_GB2312"/>
          <w:sz w:val="32"/>
          <w:szCs w:val="32"/>
          <w:lang w:val="en-US" w:eastAsia="zh-CN"/>
        </w:rPr>
        <w:t>779.32</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事业收入较上年相比减少</w:t>
      </w:r>
      <w:r>
        <w:rPr>
          <w:rFonts w:hint="eastAsia" w:ascii="Times New Roman" w:hAnsi="Times New Roman" w:eastAsia="仿宋_GB2312"/>
          <w:sz w:val="32"/>
          <w:szCs w:val="32"/>
          <w:lang w:val="en-US" w:eastAsia="zh-CN"/>
        </w:rPr>
        <w:t>177.34万元，其他收入较上年相比增加17.76万元；2025年教育支出</w:t>
      </w:r>
      <w:r>
        <w:rPr>
          <w:rFonts w:hint="eastAsia" w:ascii="Times New Roman" w:hAnsi="Times New Roman" w:eastAsia="仿宋_GB2312"/>
          <w:sz w:val="32"/>
          <w:szCs w:val="32"/>
          <w:lang w:eastAsia="zh-CN"/>
        </w:rPr>
        <w:t>较上年相比增加</w:t>
      </w:r>
      <w:r>
        <w:rPr>
          <w:rFonts w:hint="eastAsia" w:ascii="Times New Roman" w:hAnsi="Times New Roman" w:eastAsia="仿宋_GB2312"/>
          <w:sz w:val="32"/>
          <w:szCs w:val="32"/>
          <w:lang w:val="en-US" w:eastAsia="zh-CN"/>
        </w:rPr>
        <w:t>1334.35万元，社会保障和就业支出</w:t>
      </w:r>
      <w:r>
        <w:rPr>
          <w:rFonts w:hint="eastAsia" w:ascii="Times New Roman" w:hAnsi="Times New Roman" w:eastAsia="仿宋_GB2312"/>
          <w:sz w:val="32"/>
          <w:szCs w:val="32"/>
          <w:lang w:eastAsia="zh-CN"/>
        </w:rPr>
        <w:t>较上年相比减少</w:t>
      </w:r>
      <w:r>
        <w:rPr>
          <w:rFonts w:hint="eastAsia" w:ascii="Times New Roman" w:hAnsi="Times New Roman" w:eastAsia="仿宋_GB2312"/>
          <w:sz w:val="32"/>
          <w:szCs w:val="32"/>
          <w:lang w:val="en-US" w:eastAsia="zh-CN"/>
        </w:rPr>
        <w:t>463.05万元，卫生健康支出</w:t>
      </w:r>
      <w:r>
        <w:rPr>
          <w:rFonts w:hint="eastAsia" w:ascii="Times New Roman" w:hAnsi="Times New Roman" w:eastAsia="仿宋_GB2312"/>
          <w:sz w:val="32"/>
          <w:szCs w:val="32"/>
          <w:lang w:eastAsia="zh-CN"/>
        </w:rPr>
        <w:t>较上年相比减少251.56</w:t>
      </w:r>
      <w:r>
        <w:rPr>
          <w:rFonts w:hint="eastAsia" w:ascii="Times New Roman" w:hAnsi="Times New Roman" w:eastAsia="仿宋_GB2312"/>
          <w:sz w:val="32"/>
          <w:szCs w:val="32"/>
          <w:lang w:val="en-US" w:eastAsia="zh-CN"/>
        </w:rPr>
        <w:t>万元。</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中等职业教育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9642.89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9032.74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93.67</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440.44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4.57</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169.71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1.76</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9642.89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8635.13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89.55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1007.76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10.45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18065.48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1558.64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9.44</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学校办学规模扩大，人员经费和公用经费均相应增加</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9032.74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779.32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9.44</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学校办学规模扩大，人员经费和公用经费均相应增加。</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9032.74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9032.74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8674.79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9032.74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教育支出（类）职业教育（款）中等职业教育（项）。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cs="Times New Roman"/>
          <w:sz w:val="32"/>
          <w:szCs w:val="32"/>
          <w:lang w:val="en-US" w:eastAsia="zh-CN"/>
        </w:rPr>
        <w:t>8674.79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9032.74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学校办学规模扩大，人员经费和公用经费均相应增加。</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sz w:val="32"/>
          <w:szCs w:val="32"/>
        </w:rPr>
        <w:t>教育支出</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sz w:val="32"/>
          <w:szCs w:val="32"/>
        </w:rPr>
        <w:t>中等职业教育</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9032.74</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学校</w:t>
      </w:r>
      <w:r>
        <w:rPr>
          <w:rFonts w:hint="eastAsia" w:ascii="Times New Roman" w:hAnsi="Times New Roman" w:eastAsia="仿宋_GB2312" w:cs="Times New Roman"/>
          <w:sz w:val="32"/>
          <w:szCs w:val="32"/>
        </w:rPr>
        <w:t>项目建设、运维等方面</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8024.98</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6347.33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79.09</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、绩效工资、机关事业单位基本养老保险缴费、职工基本医疗保险缴费、其他社会保障缴费、其他工资福利支出、退休费、抚恤金、生活补助、医疗费补助、助奖学金、其他对个人和家庭的补助</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1677.65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20.91</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、水电费、邮电费、差旅费、  维修（护）费、租赁费、会议费、培训费、专用材料费、劳务费、委托业务费、工会经费、福利费、公务用车运行维护费、其他交通费用、其他商品和服务支出、信息网络及软件购置更新</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8.42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58.39</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sz w:val="32"/>
          <w:szCs w:val="32"/>
          <w:lang w:val="en-US" w:eastAsia="zh-CN"/>
        </w:rPr>
        <w:t>公务接待费减少，贯彻落实中央八项规定精神，从严控制和压缩三公经费支出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2.91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降低</w:t>
      </w:r>
      <w:r>
        <w:rPr>
          <w:rFonts w:hint="eastAsia" w:ascii="Times New Roman" w:hAnsi="Times New Roman" w:eastAsia="仿宋_GB2312" w:cs="Times New Roman"/>
          <w:sz w:val="32"/>
          <w:szCs w:val="32"/>
          <w:lang w:val="en-US" w:eastAsia="zh-CN"/>
        </w:rPr>
        <w:t>32.66</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sz w:val="32"/>
          <w:szCs w:val="32"/>
          <w:lang w:val="en-US" w:eastAsia="zh-CN"/>
        </w:rPr>
        <w:t>车辆日常保养维护、加油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2.91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32.66</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sz w:val="32"/>
          <w:szCs w:val="32"/>
          <w:lang w:val="en-US" w:eastAsia="zh-CN"/>
        </w:rPr>
        <w:t>预算管理优化，减少了不必要的开支，提高了资金使用效率；二是维护成本控制，通过加强车辆日常保养，减少了维修成本</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pPr>
        <w:pStyle w:val="12"/>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5.51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2"/>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情况</w:t>
      </w:r>
      <w:r>
        <w:rPr>
          <w:rFonts w:hint="eastAsia" w:ascii="Times New Roman" w:hAnsi="Times New Roman" w:eastAsia="仿宋_GB2312"/>
          <w:sz w:val="32"/>
          <w:szCs w:val="32"/>
          <w:lang w:val="en-US" w:eastAsia="zh-CN"/>
        </w:rPr>
        <w:t>说明：本单位无政府性基金收支。</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情况</w:t>
      </w:r>
      <w:r>
        <w:rPr>
          <w:rFonts w:hint="eastAsia" w:ascii="Times New Roman" w:hAnsi="Times New Roman" w:eastAsia="仿宋_GB2312"/>
          <w:sz w:val="32"/>
          <w:szCs w:val="32"/>
          <w:lang w:val="en-US" w:eastAsia="zh-CN"/>
        </w:rPr>
        <w:t>说明：本单位无机关运行经费支出</w:t>
      </w:r>
      <w:r>
        <w:rPr>
          <w:rFonts w:hint="eastAsia" w:ascii="Times New Roman" w:hAnsi="Times New Roman" w:eastAsia="仿宋_GB2312"/>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11.18</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用于召开</w:t>
      </w:r>
      <w:r>
        <w:rPr>
          <w:rFonts w:hint="eastAsia" w:ascii="Times New Roman" w:hAnsi="Times New Roman" w:eastAsia="仿宋_GB2312"/>
          <w:sz w:val="32"/>
          <w:szCs w:val="32"/>
          <w:lang w:eastAsia="zh-CN"/>
        </w:rPr>
        <w:t>各种教育教学相关工作</w:t>
      </w:r>
      <w:r>
        <w:rPr>
          <w:rFonts w:hint="eastAsia" w:ascii="Times New Roman" w:hAnsi="Times New Roman" w:eastAsia="仿宋_GB2312"/>
          <w:sz w:val="32"/>
          <w:szCs w:val="32"/>
        </w:rPr>
        <w:t>会议</w:t>
      </w:r>
      <w:r>
        <w:rPr>
          <w:rFonts w:hint="eastAsia" w:ascii="Times New Roman" w:hAnsi="Times New Roman" w:eastAsia="仿宋_GB2312"/>
          <w:sz w:val="32"/>
          <w:szCs w:val="32"/>
          <w:lang w:eastAsia="zh-CN"/>
        </w:rPr>
        <w:t>等</w:t>
      </w:r>
      <w:r>
        <w:rPr>
          <w:rFonts w:hint="eastAsia" w:ascii="Times New Roman" w:hAnsi="Times New Roman" w:eastAsia="仿宋_GB2312"/>
          <w:sz w:val="32"/>
          <w:szCs w:val="32"/>
        </w:rPr>
        <w:t>，人数</w:t>
      </w:r>
      <w:r>
        <w:rPr>
          <w:rFonts w:hint="eastAsia" w:ascii="Times New Roman" w:hAnsi="Times New Roman" w:eastAsia="仿宋_GB2312"/>
          <w:sz w:val="32"/>
          <w:szCs w:val="32"/>
          <w:lang w:val="en-US" w:eastAsia="zh-CN"/>
        </w:rPr>
        <w:t>307</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eastAsia="zh-CN"/>
        </w:rPr>
        <w:t>开展相关教育教学工作</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2.25</w:t>
      </w:r>
      <w:r>
        <w:rPr>
          <w:rFonts w:ascii="Times New Roman" w:hAnsi="Times New Roman" w:eastAsia="仿宋_GB2312" w:cs="Times New Roman"/>
          <w:sz w:val="32"/>
          <w:szCs w:val="32"/>
        </w:rPr>
        <w:t>万元，用于开展</w:t>
      </w:r>
      <w:r>
        <w:rPr>
          <w:rFonts w:hint="eastAsia" w:ascii="Times New Roman" w:hAnsi="Times New Roman" w:eastAsia="仿宋_GB2312"/>
          <w:sz w:val="32"/>
          <w:szCs w:val="32"/>
          <w:lang w:eastAsia="zh-CN"/>
        </w:rPr>
        <w:t>永州市职业农民和青年党员</w:t>
      </w:r>
      <w:r>
        <w:rPr>
          <w:rFonts w:hint="eastAsia" w:ascii="Times New Roman" w:hAnsi="Times New Roman" w:eastAsia="仿宋_GB2312"/>
          <w:sz w:val="32"/>
          <w:szCs w:val="32"/>
        </w:rPr>
        <w:t>培训，人数</w:t>
      </w:r>
      <w:r>
        <w:rPr>
          <w:rFonts w:hint="eastAsia" w:ascii="Times New Roman" w:hAnsi="Times New Roman" w:eastAsia="仿宋_GB2312"/>
          <w:sz w:val="32"/>
          <w:szCs w:val="32"/>
          <w:lang w:val="en-US" w:eastAsia="zh-CN"/>
        </w:rPr>
        <w:t>1836</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eastAsia="zh-CN"/>
        </w:rPr>
        <w:t>道县</w:t>
      </w:r>
      <w:r>
        <w:rPr>
          <w:rFonts w:hint="eastAsia" w:ascii="Times New Roman" w:hAnsi="Times New Roman" w:eastAsia="仿宋_GB2312"/>
          <w:sz w:val="32"/>
          <w:szCs w:val="32"/>
          <w:lang w:val="en-US" w:eastAsia="zh-CN"/>
        </w:rPr>
        <w:t>2025年村（社区）党组织书记（主任）视频培训会、全市乡村振兴驻村帮扶重点培训班、2025年“党建+乡村振兴高素质农民培育”专题培训班等</w:t>
      </w:r>
      <w:r>
        <w:rPr>
          <w:rFonts w:ascii="Times New Roman" w:hAnsi="Times New Roman" w:eastAsia="仿宋_GB2312" w:cs="Times New Roman"/>
          <w:sz w:val="32"/>
          <w:szCs w:val="32"/>
        </w:rPr>
        <w:t>；</w:t>
      </w:r>
      <w:r>
        <w:rPr>
          <w:rFonts w:hint="eastAsia" w:ascii="Times New Roman" w:hAnsi="Times New Roman" w:eastAsia="仿宋_GB2312"/>
          <w:sz w:val="32"/>
          <w:szCs w:val="32"/>
        </w:rPr>
        <w:t>举办</w:t>
      </w:r>
      <w:r>
        <w:rPr>
          <w:rFonts w:hint="eastAsia" w:ascii="Times New Roman" w:hAnsi="Times New Roman" w:eastAsia="仿宋_GB2312"/>
          <w:sz w:val="32"/>
          <w:szCs w:val="32"/>
          <w:lang w:eastAsia="zh-CN"/>
        </w:rPr>
        <w:t>“禁毒宣传”和“利剑护蕾”等保护未成年</w:t>
      </w:r>
      <w:r>
        <w:rPr>
          <w:rFonts w:hint="eastAsia" w:ascii="Times New Roman" w:hAnsi="Times New Roman" w:eastAsia="仿宋_GB2312"/>
          <w:sz w:val="32"/>
          <w:szCs w:val="32"/>
        </w:rPr>
        <w:t>活动，开支</w:t>
      </w:r>
      <w:r>
        <w:rPr>
          <w:rFonts w:hint="eastAsia" w:ascii="Times New Roman" w:hAnsi="Times New Roman" w:eastAsia="仿宋_GB2312"/>
          <w:sz w:val="32"/>
          <w:szCs w:val="32"/>
          <w:lang w:val="en-US" w:eastAsia="zh-CN"/>
        </w:rPr>
        <w:t>2.21</w:t>
      </w:r>
      <w:r>
        <w:rPr>
          <w:rFonts w:hint="eastAsia" w:ascii="Times New Roman" w:hAnsi="Times New Roman" w:eastAsia="仿宋_GB2312"/>
          <w:sz w:val="32"/>
          <w:szCs w:val="32"/>
        </w:rPr>
        <w:t>万元，主要是</w:t>
      </w:r>
      <w:r>
        <w:rPr>
          <w:rFonts w:hint="eastAsia" w:ascii="Times New Roman" w:hAnsi="Times New Roman" w:eastAsia="仿宋_GB2312"/>
          <w:sz w:val="32"/>
          <w:szCs w:val="32"/>
          <w:lang w:eastAsia="zh-CN"/>
        </w:rPr>
        <w:t>演出服装费、设备租赁费等</w:t>
      </w:r>
      <w:r>
        <w:rPr>
          <w:rFonts w:hint="eastAsia" w:ascii="Times New Roman" w:hAnsi="Times New Roman" w:eastAsia="仿宋_GB2312"/>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1300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400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400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1300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23.08</w:t>
      </w:r>
      <w:r>
        <w:rPr>
          <w:rFonts w:ascii="Times New Roman" w:hAnsi="Times New Roman" w:eastAsia="仿宋_GB2312" w:cs="Times New Roman"/>
          <w:color w:val="auto"/>
          <w:sz w:val="32"/>
          <w:szCs w:val="32"/>
        </w:rPr>
        <w:t>%。</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66.23</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0.66</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33.11</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w:t>
      </w:r>
      <w:r>
        <w:rPr>
          <w:rFonts w:hint="eastAsia" w:ascii="Times New Roman" w:hAnsi="Times New Roman" w:eastAsia="仿宋_GB2312"/>
          <w:color w:val="auto"/>
          <w:sz w:val="32"/>
          <w:szCs w:val="32"/>
        </w:rPr>
        <w:t>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台（套）</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2820.92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2820.92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31.23</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无</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eastAsia="zh-CN"/>
        </w:rPr>
        <w:t>无</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eastAsia="zh-CN"/>
        </w:rPr>
        <w:t>无</w:t>
      </w:r>
      <w:r>
        <w:rPr>
          <w:rFonts w:ascii="Times New Roman" w:hAnsi="Times New Roman" w:eastAsia="仿宋_GB2312" w:cs="Times New Roman"/>
          <w:kern w:val="0"/>
          <w:sz w:val="32"/>
          <w:szCs w:val="32"/>
        </w:rPr>
        <w:t>社会保险基金预算项目。</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eastAsia="仿宋_GB2312"/>
          <w:sz w:val="32"/>
          <w:szCs w:val="32"/>
          <w:lang w:val="en-US" w:eastAsia="zh-CN"/>
        </w:rPr>
        <w:t>对口高考考点维护经费</w:t>
      </w:r>
      <w:r>
        <w:rPr>
          <w:rFonts w:ascii="Times New Roman" w:hAnsi="Times New Roman" w:eastAsia="仿宋_GB2312" w:cs="Times New Roman"/>
          <w:kern w:val="0"/>
          <w:sz w:val="32"/>
          <w:szCs w:val="32"/>
        </w:rPr>
        <w:t>”“</w:t>
      </w:r>
      <w:r>
        <w:rPr>
          <w:rFonts w:hint="eastAsia" w:eastAsia="仿宋_GB2312"/>
          <w:sz w:val="32"/>
          <w:szCs w:val="32"/>
          <w:lang w:val="en-US" w:eastAsia="zh-CN"/>
        </w:rPr>
        <w:t>高中学校课研经费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2820.92</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9046.95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9</w:t>
      </w:r>
      <w:r>
        <w:rPr>
          <w:rFonts w:hint="eastAsia" w:ascii="Times New Roman" w:hAnsi="Times New Roman" w:eastAsia="仿宋_GB2312" w:cs="Times New Roman"/>
          <w:sz w:val="32"/>
          <w:szCs w:val="32"/>
          <w:lang w:val="en-US" w:eastAsia="zh-CN"/>
        </w:rPr>
        <w:t>042.89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99.96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2025年部门整体共支出9042.89万元。其中，教育支出8319.17万元，主要用于人员工资、社保、日常运转及改善学校办学条件等。社会保障和就业支出468.64万元，主要是用于职工基本养老保险缴费；卫生健康支出255.08万元，主要是用于职工基本医疗保险缴费。</w:t>
      </w:r>
    </w:p>
    <w:p>
      <w:pPr>
        <w:pStyle w:val="12"/>
        <w:numPr>
          <w:ilvl w:val="0"/>
          <w:numId w:val="2"/>
        </w:numP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pPr>
        <w:pStyle w:val="12"/>
        <w:numPr>
          <w:numId w:val="0"/>
        </w:numPr>
        <w:overflowPunct w:val="0"/>
        <w:autoSpaceDE/>
        <w:autoSpaceDN/>
        <w:spacing w:line="600" w:lineRule="exact"/>
        <w:ind w:firstLine="640" w:firstLineChars="200"/>
        <w:jc w:val="both"/>
        <w:rPr>
          <w:rFonts w:hint="eastAsia" w:ascii="Times New Roman" w:hAnsi="Times New Roman" w:eastAsia="楷体_GB2312" w:cs="Times New Roman"/>
          <w:color w:val="auto"/>
          <w:sz w:val="72"/>
          <w:szCs w:val="72"/>
          <w:lang w:eastAsia="zh-CN"/>
        </w:rPr>
      </w:pPr>
      <w:r>
        <w:rPr>
          <w:rFonts w:hint="eastAsia" w:ascii="Times New Roman" w:hAnsi="Times New Roman" w:eastAsia="仿宋_GB2312" w:cs="Times New Roman"/>
          <w:color w:val="auto"/>
          <w:sz w:val="32"/>
          <w:szCs w:val="32"/>
          <w:lang w:eastAsia="zh-CN"/>
        </w:rPr>
        <w:t>充分运用绩效自评结果，优化支出结构，将资金向重点业务倾斜，压减低效支出；规范资金使用流程，强化预算管控，防范资金使用风险；健全完善内部管理制度，补齐管理短板；建立问题整改台账，落实整改，将自评结果作为下年度预算编制重要依据，切实提升财政资金使用效益。</w:t>
      </w:r>
      <w:bookmarkStart w:id="3" w:name="_GoBack"/>
      <w:bookmarkEnd w:id="3"/>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ind w:firstLine="640" w:firstLineChars="200"/>
        <w:jc w:val="left"/>
        <w:rPr>
          <w:rFonts w:ascii="Times New Roman" w:hAnsi="Times New Roman" w:cs="Times New Roman"/>
          <w:sz w:val="72"/>
          <w:szCs w:val="72"/>
        </w:rPr>
      </w:pPr>
      <w:r>
        <w:rPr>
          <w:rFonts w:ascii="Times New Roman" w:hAnsi="Times New Roman" w:eastAsia="仿宋_GB2312" w:cs="Times New Roman"/>
          <w:color w:val="000000"/>
          <w:kern w:val="0"/>
          <w:sz w:val="32"/>
          <w:szCs w:val="32"/>
        </w:rPr>
        <w:t>一、</w:t>
      </w:r>
      <w:r>
        <w:rPr>
          <w:rFonts w:hint="eastAsia" w:ascii="宋体" w:hAnsi="宋体" w:cs="黑体"/>
          <w:color w:val="000000"/>
          <w:kern w:val="0"/>
          <w:sz w:val="32"/>
          <w:szCs w:val="32"/>
        </w:rPr>
        <w:t>“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一、基本情况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（一）部门（单位）基本情况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永州市工业贸易中等专业学校（以下简称“永州工贸学校”）现为一支队伍、两个校区、三块牌子。2017年，永州市委以永州工贸学校为载体，创建永州市农村党员和青年农民培训中心；2019年,经省人社厅批准，在永州工贸学校的基础上设立道州技工学校。校园占地面积54万平方米（810亩），校舍建筑面积16.13万平方米。建有果蔬花卉生产、畜禽生产、食用菌生产、深永发电子有限公司4个实训基地，蛙+稻生态种养、供港蔬菜、食用龟等校外教学实践基地53个，电子电工、数控加工、汽车维修、服装、计算机等实习实训室88个，教学仪器设备总值5801万元，教学用计算机拥有1230台，实习实训工位数4569个，能满足教育教学、学生实习实训和省、市技能大赛等工作需要。现有教职工总数457人，专任教师403人，专业课教师264人，双师型教师166人，从行业企业、高等院校和科研单位聘任兼职教师77人。高级职称教师103人，其中正高级职称教师1人。全日制在校学生7053人，年短期培训5000人次以上。</w:t>
      </w:r>
    </w:p>
    <w:p>
      <w:pPr>
        <w:keepNext w:val="0"/>
        <w:keepLines w:val="0"/>
        <w:pageBreakBefore w:val="0"/>
        <w:widowControl w:val="0"/>
        <w:numPr>
          <w:ilvl w:val="0"/>
          <w:numId w:val="3"/>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工作职能 </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培养大、中专学历人才，培养中、高级技术应用人才，中等专业技术教育、教学、科研、相关职业培训。</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2、学校内设机构</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学校内设办公室、教务科、科技科、学生科、保卫科、总务科、招生就业办公室、培训联络科、新闻宣传科和</w:t>
      </w:r>
      <w:r>
        <w:rPr>
          <w:rFonts w:hint="eastAsia" w:ascii="宋体" w:hAnsi="宋体" w:eastAsia="宋体" w:cs="宋体"/>
          <w:sz w:val="28"/>
          <w:szCs w:val="28"/>
          <w:lang w:eastAsia="zh-CN"/>
        </w:rPr>
        <w:t>人事</w:t>
      </w:r>
      <w:r>
        <w:rPr>
          <w:rFonts w:hint="eastAsia" w:ascii="宋体" w:hAnsi="宋体" w:eastAsia="宋体" w:cs="宋体"/>
          <w:sz w:val="28"/>
          <w:szCs w:val="28"/>
        </w:rPr>
        <w:t>人才科10个职能科室。</w:t>
      </w:r>
      <w:r>
        <w:rPr>
          <w:rFonts w:hint="eastAsia" w:ascii="宋体" w:hAnsi="宋体" w:eastAsia="宋体" w:cs="宋体"/>
          <w:strike w:val="0"/>
          <w:dstrike w:val="0"/>
          <w:color w:val="auto"/>
          <w:sz w:val="28"/>
          <w:szCs w:val="28"/>
          <w:lang w:eastAsia="zh-CN"/>
        </w:rPr>
        <w:t>分</w:t>
      </w:r>
      <w:r>
        <w:rPr>
          <w:rFonts w:hint="eastAsia" w:ascii="宋体" w:hAnsi="宋体" w:eastAsia="宋体" w:cs="宋体"/>
          <w:sz w:val="28"/>
          <w:szCs w:val="28"/>
        </w:rPr>
        <w:t>寿雁和城北两个校区</w:t>
      </w:r>
      <w:r>
        <w:rPr>
          <w:rFonts w:hint="eastAsia" w:ascii="宋体" w:hAnsi="宋体" w:eastAsia="宋体" w:cs="宋体"/>
          <w:sz w:val="28"/>
          <w:szCs w:val="28"/>
          <w:lang w:eastAsia="zh-CN"/>
        </w:rPr>
        <w:t>，</w:t>
      </w:r>
      <w:r>
        <w:rPr>
          <w:rFonts w:hint="eastAsia" w:ascii="宋体" w:hAnsi="宋体" w:eastAsia="宋体" w:cs="宋体"/>
          <w:strike w:val="0"/>
          <w:dstrike w:val="0"/>
          <w:color w:val="auto"/>
          <w:sz w:val="28"/>
          <w:szCs w:val="28"/>
        </w:rPr>
        <w:t>三个年级</w:t>
      </w:r>
      <w:r>
        <w:rPr>
          <w:rFonts w:hint="eastAsia" w:ascii="宋体" w:hAnsi="宋体" w:eastAsia="宋体" w:cs="宋体"/>
          <w:sz w:val="28"/>
          <w:szCs w:val="28"/>
          <w:lang w:eastAsia="zh-CN"/>
        </w:rPr>
        <w:t>。</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3、人员编制、领导职数及实有在职人数 </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道县机构编制委员会核定学校编制数为390名，校领导职数设校长1名，党委书记1名，副校长4名，纪委书记1名。202</w:t>
      </w:r>
      <w:r>
        <w:rPr>
          <w:rFonts w:hint="eastAsia" w:ascii="宋体" w:hAnsi="宋体" w:eastAsia="宋体" w:cs="宋体"/>
          <w:sz w:val="28"/>
          <w:szCs w:val="28"/>
          <w:lang w:val="en-US" w:eastAsia="zh-CN"/>
        </w:rPr>
        <w:t>5</w:t>
      </w:r>
      <w:r>
        <w:rPr>
          <w:rFonts w:hint="eastAsia" w:ascii="宋体" w:hAnsi="宋体" w:eastAsia="宋体" w:cs="宋体"/>
          <w:sz w:val="28"/>
          <w:szCs w:val="28"/>
        </w:rPr>
        <w:t>年度年末在职</w:t>
      </w:r>
      <w:r>
        <w:rPr>
          <w:rFonts w:hint="eastAsia" w:ascii="宋体" w:hAnsi="宋体" w:eastAsia="宋体" w:cs="宋体"/>
          <w:sz w:val="28"/>
          <w:szCs w:val="28"/>
          <w:lang w:eastAsia="zh-CN"/>
        </w:rPr>
        <w:t>在编职工</w:t>
      </w:r>
      <w:r>
        <w:rPr>
          <w:rFonts w:hint="eastAsia" w:ascii="宋体" w:hAnsi="宋体" w:eastAsia="宋体" w:cs="宋体"/>
          <w:sz w:val="28"/>
          <w:szCs w:val="28"/>
        </w:rPr>
        <w:t>3</w:t>
      </w:r>
      <w:r>
        <w:rPr>
          <w:rFonts w:hint="eastAsia" w:ascii="宋体" w:hAnsi="宋体" w:eastAsia="宋体" w:cs="宋体"/>
          <w:sz w:val="28"/>
          <w:szCs w:val="28"/>
          <w:lang w:val="en-US" w:eastAsia="zh-CN"/>
        </w:rPr>
        <w:t>70</w:t>
      </w:r>
      <w:r>
        <w:rPr>
          <w:rFonts w:hint="eastAsia" w:ascii="宋体" w:hAnsi="宋体" w:eastAsia="宋体" w:cs="宋体"/>
          <w:sz w:val="28"/>
          <w:szCs w:val="28"/>
        </w:rPr>
        <w:t>人</w:t>
      </w:r>
      <w:r>
        <w:rPr>
          <w:rFonts w:hint="eastAsia" w:ascii="宋体" w:hAnsi="宋体" w:eastAsia="宋体" w:cs="宋体"/>
          <w:sz w:val="28"/>
          <w:szCs w:val="28"/>
          <w:lang w:eastAsia="zh-CN"/>
        </w:rPr>
        <w:t>，</w:t>
      </w:r>
      <w:r>
        <w:rPr>
          <w:rFonts w:hint="eastAsia" w:ascii="宋体" w:hAnsi="宋体" w:eastAsia="宋体" w:cs="宋体"/>
          <w:sz w:val="28"/>
          <w:szCs w:val="28"/>
        </w:rPr>
        <w:t>退休职工</w:t>
      </w:r>
      <w:r>
        <w:rPr>
          <w:rFonts w:hint="eastAsia" w:ascii="宋体" w:hAnsi="宋体" w:eastAsia="宋体" w:cs="宋体"/>
          <w:sz w:val="28"/>
          <w:szCs w:val="28"/>
          <w:lang w:val="en-US" w:eastAsia="zh-CN"/>
        </w:rPr>
        <w:t>85</w:t>
      </w:r>
      <w:r>
        <w:rPr>
          <w:rFonts w:hint="eastAsia" w:ascii="宋体" w:hAnsi="宋体" w:eastAsia="宋体" w:cs="宋体"/>
          <w:sz w:val="28"/>
          <w:szCs w:val="28"/>
        </w:rPr>
        <w:t>人，合同制职工</w:t>
      </w:r>
      <w:r>
        <w:rPr>
          <w:rFonts w:hint="eastAsia" w:ascii="宋体" w:hAnsi="宋体" w:eastAsia="宋体" w:cs="宋体"/>
          <w:sz w:val="28"/>
          <w:szCs w:val="28"/>
          <w:lang w:val="en-US" w:eastAsia="zh-CN"/>
        </w:rPr>
        <w:t>87</w:t>
      </w:r>
      <w:r>
        <w:rPr>
          <w:rFonts w:hint="eastAsia" w:ascii="宋体" w:hAnsi="宋体" w:eastAsia="宋体" w:cs="宋体"/>
          <w:sz w:val="28"/>
          <w:szCs w:val="28"/>
        </w:rPr>
        <w:t>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（二）部门整体支出规模、使用方向和主要内容</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color w:val="auto"/>
          <w:sz w:val="28"/>
          <w:szCs w:val="28"/>
        </w:rPr>
      </w:pPr>
      <w:r>
        <w:rPr>
          <w:rFonts w:hint="eastAsia" w:ascii="宋体" w:hAnsi="宋体" w:eastAsia="宋体" w:cs="宋体"/>
          <w:sz w:val="28"/>
          <w:szCs w:val="28"/>
          <w:lang w:val="en-US" w:eastAsia="zh-CN"/>
        </w:rPr>
        <w:t>2025年部门整体共支出9042.89万元。其中，教育支出8319.17万元，</w:t>
      </w:r>
      <w:r>
        <w:rPr>
          <w:rFonts w:hint="eastAsia" w:ascii="宋体" w:hAnsi="宋体" w:eastAsia="宋体" w:cs="宋体"/>
          <w:color w:val="auto"/>
          <w:sz w:val="28"/>
          <w:szCs w:val="28"/>
          <w:lang w:val="en-US" w:eastAsia="zh-CN"/>
        </w:rPr>
        <w:t>主要用于人员工资、社保、日常运转及改善学校办学条件等。社会保障和就业支出468.64万元，主要是用于职工基本养老保险缴费；卫生健康支出255.08万元，主要是用于职工基本医疗保险缴费。</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eastAsia="zh-CN"/>
        </w:rPr>
        <w:t>二、</w:t>
      </w:r>
      <w:r>
        <w:rPr>
          <w:rFonts w:hint="eastAsia" w:ascii="宋体" w:hAnsi="宋体" w:eastAsia="宋体" w:cs="宋体"/>
          <w:b/>
          <w:bCs/>
          <w:sz w:val="28"/>
          <w:szCs w:val="28"/>
        </w:rPr>
        <w:t>部门整体支出管理及使用情况</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2025年部门整体收入9646.95万元。其中一般公共预算拨款收入9032.74万元，事业收入444.5万元，其他收入169.71万元。具体安排情况如下：</w:t>
      </w:r>
    </w:p>
    <w:p>
      <w:pPr>
        <w:keepNext w:val="0"/>
        <w:keepLines w:val="0"/>
        <w:pageBreakBefore w:val="0"/>
        <w:widowControl w:val="0"/>
        <w:numPr>
          <w:ilvl w:val="0"/>
          <w:numId w:val="4"/>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基本支出情况：</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2025年基本支出8635.13万元。其中：工资福利支出支出5981.45万元，主要是包括教职工的工资、绩效、奖金及各项社会保险缴费；一般商品和服务支出1530.93万元，用于为保障我校正常运转、完成日常工作任务而发生的支出，包括办公经费、水电费、差旅费、会议费、教师培训费、工会经费等；对个人和家庭的补助支出911.77万元，主要是退休费、抚恤金、生活补助、助学金等；资本性支出210.98万元，主要是专用设备购置和信息网络及软件购置更新。</w:t>
      </w:r>
    </w:p>
    <w:p>
      <w:pPr>
        <w:keepNext w:val="0"/>
        <w:keepLines w:val="0"/>
        <w:pageBreakBefore w:val="0"/>
        <w:widowControl w:val="0"/>
        <w:numPr>
          <w:ilvl w:val="0"/>
          <w:numId w:val="4"/>
        </w:numPr>
        <w:kinsoku/>
        <w:wordWrap/>
        <w:overflowPunct/>
        <w:topLinePunct w:val="0"/>
        <w:autoSpaceDE/>
        <w:autoSpaceDN/>
        <w:bidi w:val="0"/>
        <w:adjustRightInd/>
        <w:snapToGrid/>
        <w:ind w:left="0" w:leftChars="0"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项目支出情况：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2025年项目支出1007.76万元。其中：改善中职学校办学条件的日常公用经费支出939.33万元，主要用于完善基础设施建设，专业实训设备购置，办公设备购置，信息网络及软件购置等方面；中职教育发展专项支出68.43万元，主要用于学校教育发展支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rPr>
        <w:t>（</w:t>
      </w:r>
      <w:r>
        <w:rPr>
          <w:rFonts w:hint="eastAsia" w:ascii="宋体" w:hAnsi="宋体" w:eastAsia="宋体" w:cs="宋体"/>
          <w:sz w:val="28"/>
          <w:szCs w:val="28"/>
          <w:lang w:eastAsia="zh-CN"/>
        </w:rPr>
        <w:t>三</w:t>
      </w:r>
      <w:r>
        <w:rPr>
          <w:rFonts w:hint="eastAsia" w:ascii="宋体" w:hAnsi="宋体" w:eastAsia="宋体" w:cs="宋体"/>
          <w:sz w:val="28"/>
          <w:szCs w:val="28"/>
        </w:rPr>
        <w:t>）三公经费使用情况</w:t>
      </w:r>
      <w:r>
        <w:rPr>
          <w:rFonts w:hint="eastAsia" w:ascii="宋体" w:hAnsi="宋体" w:eastAsia="宋体" w:cs="宋体"/>
          <w:sz w:val="28"/>
          <w:szCs w:val="28"/>
          <w:lang w:eastAsia="zh-CN"/>
        </w:rPr>
        <w:t>：</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rPr>
        <w:t>202</w:t>
      </w:r>
      <w:r>
        <w:rPr>
          <w:rFonts w:hint="eastAsia" w:ascii="宋体" w:hAnsi="宋体" w:eastAsia="宋体" w:cs="宋体"/>
          <w:sz w:val="28"/>
          <w:szCs w:val="28"/>
          <w:lang w:val="en-US" w:eastAsia="zh-CN"/>
        </w:rPr>
        <w:t>5</w:t>
      </w:r>
      <w:r>
        <w:rPr>
          <w:rFonts w:hint="eastAsia" w:ascii="宋体" w:hAnsi="宋体" w:eastAsia="宋体" w:cs="宋体"/>
          <w:sz w:val="28"/>
          <w:szCs w:val="28"/>
        </w:rPr>
        <w:t>年“三公”经费</w:t>
      </w:r>
      <w:r>
        <w:rPr>
          <w:rFonts w:hint="eastAsia" w:ascii="宋体" w:hAnsi="宋体" w:eastAsia="宋体" w:cs="宋体"/>
          <w:sz w:val="28"/>
          <w:szCs w:val="28"/>
          <w:lang w:eastAsia="zh-CN"/>
        </w:rPr>
        <w:t>支出</w:t>
      </w:r>
      <w:r>
        <w:rPr>
          <w:rFonts w:hint="eastAsia" w:ascii="宋体" w:hAnsi="宋体" w:eastAsia="宋体" w:cs="宋体"/>
          <w:sz w:val="28"/>
          <w:szCs w:val="28"/>
          <w:lang w:val="en-US" w:eastAsia="zh-CN"/>
        </w:rPr>
        <w:t>6</w:t>
      </w:r>
      <w:r>
        <w:rPr>
          <w:rFonts w:hint="eastAsia" w:ascii="宋体" w:hAnsi="宋体" w:eastAsia="宋体" w:cs="宋体"/>
          <w:sz w:val="28"/>
          <w:szCs w:val="28"/>
        </w:rPr>
        <w:t>万元，其中，公务接待费</w:t>
      </w:r>
      <w:r>
        <w:rPr>
          <w:rFonts w:hint="eastAsia" w:ascii="宋体" w:hAnsi="宋体" w:eastAsia="宋体" w:cs="宋体"/>
          <w:sz w:val="28"/>
          <w:szCs w:val="28"/>
          <w:lang w:val="en-US" w:eastAsia="zh-CN"/>
        </w:rPr>
        <w:t>0</w:t>
      </w:r>
      <w:r>
        <w:rPr>
          <w:rFonts w:hint="eastAsia" w:ascii="宋体" w:hAnsi="宋体" w:eastAsia="宋体" w:cs="宋体"/>
          <w:sz w:val="28"/>
          <w:szCs w:val="28"/>
        </w:rPr>
        <w:t>万元，公务用车购置及运行费</w:t>
      </w:r>
      <w:r>
        <w:rPr>
          <w:rFonts w:hint="eastAsia" w:ascii="宋体" w:hAnsi="宋体" w:eastAsia="宋体" w:cs="宋体"/>
          <w:sz w:val="28"/>
          <w:szCs w:val="28"/>
          <w:lang w:val="en-US" w:eastAsia="zh-CN"/>
        </w:rPr>
        <w:t>6</w:t>
      </w:r>
      <w:r>
        <w:rPr>
          <w:rFonts w:hint="eastAsia" w:ascii="宋体" w:hAnsi="宋体" w:eastAsia="宋体" w:cs="宋体"/>
          <w:sz w:val="28"/>
          <w:szCs w:val="28"/>
        </w:rPr>
        <w:t>万元（其中，公务用车购置费</w:t>
      </w:r>
      <w:r>
        <w:rPr>
          <w:rFonts w:hint="eastAsia" w:ascii="宋体" w:hAnsi="宋体" w:eastAsia="宋体" w:cs="宋体"/>
          <w:sz w:val="28"/>
          <w:szCs w:val="28"/>
          <w:lang w:val="en-US" w:eastAsia="zh-CN"/>
        </w:rPr>
        <w:t>0</w:t>
      </w:r>
      <w:r>
        <w:rPr>
          <w:rFonts w:hint="eastAsia" w:ascii="宋体" w:hAnsi="宋体" w:eastAsia="宋体" w:cs="宋体"/>
          <w:sz w:val="28"/>
          <w:szCs w:val="28"/>
        </w:rPr>
        <w:t>万元，公务用车运行费</w:t>
      </w:r>
      <w:r>
        <w:rPr>
          <w:rFonts w:hint="eastAsia" w:ascii="宋体" w:hAnsi="宋体" w:eastAsia="宋体" w:cs="宋体"/>
          <w:sz w:val="28"/>
          <w:szCs w:val="28"/>
          <w:lang w:val="en-US" w:eastAsia="zh-CN"/>
        </w:rPr>
        <w:t>6</w:t>
      </w:r>
      <w:r>
        <w:rPr>
          <w:rFonts w:hint="eastAsia" w:ascii="宋体" w:hAnsi="宋体" w:eastAsia="宋体" w:cs="宋体"/>
          <w:sz w:val="28"/>
          <w:szCs w:val="28"/>
        </w:rPr>
        <w:t>万元），因公出国（境）费0万元。</w:t>
      </w:r>
      <w:r>
        <w:rPr>
          <w:rFonts w:hint="eastAsia" w:ascii="宋体" w:hAnsi="宋体" w:eastAsia="宋体" w:cs="宋体"/>
          <w:sz w:val="28"/>
          <w:szCs w:val="28"/>
          <w:lang w:eastAsia="zh-CN"/>
        </w:rPr>
        <w:t>我校严格按照中央密切联系群众、改进工作作风的八项规定，严格公务接待费用，规范“三公”经费相关支出。</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eastAsia="zh-CN"/>
        </w:rPr>
        <w:t>三、</w:t>
      </w:r>
      <w:r>
        <w:rPr>
          <w:rFonts w:hint="eastAsia" w:ascii="宋体" w:hAnsi="宋体" w:eastAsia="宋体" w:cs="宋体"/>
          <w:b/>
          <w:bCs/>
          <w:sz w:val="28"/>
          <w:szCs w:val="28"/>
        </w:rPr>
        <w:t>政府性基金预算支出情况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无</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eastAsia="zh-CN"/>
        </w:rPr>
        <w:t>四、</w:t>
      </w:r>
      <w:r>
        <w:rPr>
          <w:rFonts w:hint="eastAsia" w:ascii="宋体" w:hAnsi="宋体" w:eastAsia="宋体" w:cs="宋体"/>
          <w:b/>
          <w:bCs/>
          <w:sz w:val="28"/>
          <w:szCs w:val="28"/>
        </w:rPr>
        <w:t>国有资本经营预算支出情况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无</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eastAsia="zh-CN"/>
        </w:rPr>
        <w:t>五、</w:t>
      </w:r>
      <w:r>
        <w:rPr>
          <w:rFonts w:hint="eastAsia" w:ascii="宋体" w:hAnsi="宋体" w:eastAsia="宋体" w:cs="宋体"/>
          <w:b/>
          <w:bCs/>
          <w:sz w:val="28"/>
          <w:szCs w:val="28"/>
        </w:rPr>
        <w:t>社会保险基金预算支出情况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无</w:t>
      </w:r>
    </w:p>
    <w:p>
      <w:pPr>
        <w:keepNext w:val="0"/>
        <w:keepLines w:val="0"/>
        <w:pageBreakBefore w:val="0"/>
        <w:widowControl w:val="0"/>
        <w:numPr>
          <w:ilvl w:val="0"/>
          <w:numId w:val="5"/>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rPr>
        <w:t>部门整体支出绩效情况</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2025年部门整体支出得到了较好的回报，我校聘用公费师范生5人，职业技能等级认定5批次，招收新生2396人，免学费人数7166人，资助贫困学生1162人，国家奖学金8人，单招录取率达85.5%，“3+2中高职”衔接班122名学生转段考试通过率100%，166名教师通过了“双师型”教师认定，开展覆盖478人次的专题培训，组织消防、防暴等应急演练4次，全年开展防欺凌、防溺水、防诈骗等主题班会、专题讲座超10场；投资近300万元，为176间教室配备智慧黑板，对城北校区老食堂、礼堂、四合院等老旧场所进行提升改造，对学生宿舍、公共场所厕所进行卫生整治，完成设备采购8批次，基本完成了年初绩效总体目标。具体情况如下：</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1、 深化教学改革，人才培养质量稳步提升</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紧扣教学质量生命线，以课堂教学改革为核心，推动“三教”改革落地见效，人才培养的适应性、针对性不断增强。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一）教学常规管理更趋精细规范。创新教学管理方法，严格执行教学计划，持续推行“随堂听课”制度，将听课职责压实到校领导、中层干部。强化课堂教学全过程督查，全年组织教师公开课、示范课、汇报课共计90余节。坚持每日巡堂，重点治理学生上课睡觉、玩手机等现象，学风建设取得实效。全年规范组织各类考试20余场次，实现全流程规范管理。</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二）技能竞赛与教科研工作成果凸显。坚持“以赛促教、以赛促学”。一是在2025年度湖南省“楚怡杯”职业院校技能竞赛中，荣获省一等奖1个、省三等奖3个。在“‘一带一路’暨金砖国家技能发展与技术创新大赛”“湖南省中小学生信息素养提升实践活动”中获得多项奖励。二是校内技能竞赛常态化，设置16个技能竞赛项目，共514名学生参赛。三是教科研工作深入推进，全年申报各级各类课题20余项，其中省级规划课题立项4个；完成2023年省级课题中期检查，8项“十四五”规划课题通过省、市中期检查，通过率100%。四是教师教学能力持续提升，在永州市教学设计与展示交流活动中获市一等奖6个，熊智本老师作品入围省赛并获三等奖。刘杰老师领办的维修电工工作室和孙玉俊老师领办的数控车工工作室，成功入选市级技能大师工作室建设项目名单。</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三）升学与就业齐头并进。面对生源基础薄弱的现实，弘扬“三苦”精神，持续实施“对口高考攻坚工程”。2025年3月24日，承办了“永州市2025年对口高考研讨会暨第二次质量分析会”，全市中职学校来校集中研讨对口高考工作。22级毕业班备考工作系统推进，组织月考、联考及质量分析会，开展百日誓师、考前心理辅导。2025届高考组织严密有序，顺利完成1498名学生的高考报名、体检、送考等工作。2025年单招录取率表现突出，寿雁校区22级学生单招录取率达85.5%（358人参考，306人录取）。22级“3+2中高职”衔接班汽检、机电、园艺三个专业122名学生转段考试通过率100%，顺利进入高等院校。制定《学生岗位实习工作方案》，有序组织2023级学生赴道县工业园及合作企业实习。举办“道县2025年民营企业校园招聘会”，吸引多家本地优质企业携岗入校，为毕业生搭建就业桥梁。</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四）专业建设与实训教学持续加强。一是在2025年永州市中职学校专业水平评估中，我校17个参评专业全部获评“绿牌”，其中9个为A类，整体情况居全市同类学校首位，电子信息技术和机电技术应用专业被评为永州市产教融合示范性专业。二是实训教学管理更加规范，实行“项目化教学+工单制管理”模式，落实实训室使用申请和督查制度，每月进行实训教学满意度调查。三是成功申报计算机应用、机电技术应用两个五年制大专班，与高职院校签订协议。四是全年组织学生参加电工、数控车工等工种职业技能等级认定，通过率较2024年有所提升。</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2、 聚力强师兴教，师资队伍结构素质同步优化</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将师资队伍建设作为提升办学质量的关键支撑，多措并举，着力打造高素质专业化创新型教师队伍。</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（一）“双师型”教师队伍建设有新突破。按照省教育厅要求，全力推进“双师型”教师认定工作。经过省教育厅严格审核，共有166人通过省级复核，通过率位居全市前列，覆盖了电子、数控、农艺等重点专业。</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二）教师专业发展与培训体系日益完善。选派教师参加国培、省培，搭建校内外交流平台。鼓励专业教师深入企业实践并考取职业资格证书，年内有6名教师考取了高级工证书。利用寒假开展校本培训、入企锻炼，常态化开展教研活动，全年召开教研组长会议、质量分析会10余次。评选校级骨干教师，发挥示范引领作用。</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三）师德师风建设常抓不懈。组织教职工签订《师德师风承诺书》《防性侵承诺书》，开展覆盖478人次的专题培训，观看《利剑护蕾》等警示教育片，筑牢师德底线。举办师德师风演讲比赛，强化师德师风建设，努力营造风清气正的育人环境。</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3、 坚持立德树人，学生综合素养得到全面发展</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构建“三全育人”格局，聚焦学生习惯养成和素质提升，努力培养德智体美劳全面发展的技术技能人才。</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（一）德育长效机制与安全防线不断巩固。 一是修订《班主任绩效考核实施细则》，新增“心理健康干预实效”等指标，完善了评价体系，激发班主任工作积极性。二是完善严格落实“1530”安全教育制度，全年开展防欺凌、防溺水、防诈骗等主题班会、专题讲座超10场。三是建立心理健康重点学生台账，实施“一生一策”，干预成功率达100%。四是深化双重预防体系建设，全年排查整改安全隐患106处，加强了宿管、保安培训，组织消防、防暴等应急演练4次，校园安全基础更加牢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二）行为习惯养成教育持续推进。一是从生活习惯、劳动习惯入手进行入学教育，每周召开年级学生会处理违纪问题，每月召开主题班会。二是开展“规范管理、习惯养成”专项工作，整治抽烟、违规使用手机等问题。三是在全校范围开展文明寝室量化评比并每周通报，加强学生仪容仪表检查，并将其纳入班级考核。</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三）校园文化与实践活动丰富多彩。一是组织开展“三月学雷锋”志愿服务、“诵读中国”经典诵读大赛、讲好道县文化故事演讲比赛、各类主题黑板报手抄报评比等活动，极大丰富了学生课余生活。二是举办第二十八届学生体育运动会、新生广播体操比赛、跑操比赛，选派学生参加县第43届中小学生运动会并获佳绩。三是组织师生参与“湘超”永州主场表演活动，圆满完成了《百龙出征》和《永恒的丰碑》等融合湖湘文化及道州本地传统文化特色的节目演出，为永州队“湘超”夺冠贡献了工贸力量。四是社团建设蓬勃发展，吉他社、礼仪队、编织社、书法社等社团活动活跃，为学生提供了多元化发展平台。</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4、 夯实基础保障，办学条件与服务能力持续改善</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着力破解发展瓶颈，努力改善师生学习工作生活环境，提升综合服务保障水平。</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一）基础设施建设取得突破性进展。大力推进办学条件提升行动，弥补基础设施“欠账”。一是投资近300万元，为176间教室配备智慧黑板，补齐信息化教学短板。对城北校区老食堂、礼堂、四合院等老旧场所进行提升改造，对学生宿舍、公共场所厕所进行卫生整治。二是加快湘南移民培训基地建设项目，该项目于2025年12月正式开工建设，拟于2026年底完成建设。保障性住房建设项目主体工程完成初步验收。</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二）后勤服务管理更加精细规范。一是全面落实“校园餐”改革，把好“人员关”“食材关”“经费关”“口味关”“满意关”，确保食品安全“零事故”。二是实行食堂日管控、周排查、月调度，组织家长陪餐，精细化程度不断提高。三是探索建立高效的维修快速响应机制，采用线上申报、报批，线上组织实施的报修方式，提高了维修效率。</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5、 拓展社会服务，服务地方发展担当作为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（一）社会培训品牌持续擦亮。 一是2025年继续开展“党建+乡村振兴高素质农民培育”培训学员149人。二是承接湖南紫金锂多金属新材料有限公司新进员工170人的培训，服务地方重点企业。三是举办GYB创业培训五期，培训学生360人。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二）产教融合校企合作走向深入。2025年与湖南紫金锂业有限公司签订战略合作协议。积极争取将产教融合列入县域“十五五”规划，旨在培育产教融合型企业，建设高水平实训基地。学校毕业生成为服务地方产业的重要力量。</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七、存在的主要问题</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bCs/>
          <w:sz w:val="28"/>
          <w:szCs w:val="28"/>
        </w:rPr>
      </w:pPr>
      <w:r>
        <w:rPr>
          <w:rFonts w:hint="eastAsia" w:ascii="宋体" w:hAnsi="宋体" w:eastAsia="宋体" w:cs="宋体"/>
          <w:sz w:val="28"/>
          <w:szCs w:val="28"/>
        </w:rPr>
        <w:t>每年加大优质学位供给力度，导致学校项目建设资金紧张。办学条件仍需持续改善。虽然通过集中整改，办学条件得到实质性提升，但实训设备、数字化校园等方面仍有提升空间。。</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八、</w:t>
      </w:r>
      <w:r>
        <w:rPr>
          <w:rFonts w:hint="eastAsia" w:ascii="宋体" w:hAnsi="宋体" w:eastAsia="宋体" w:cs="宋体"/>
          <w:b/>
          <w:bCs/>
          <w:sz w:val="28"/>
          <w:szCs w:val="28"/>
        </w:rPr>
        <w:t>下一步改进措施</w:t>
      </w:r>
      <w:r>
        <w:rPr>
          <w:rFonts w:hint="eastAsia" w:ascii="宋体" w:hAnsi="宋体" w:eastAsia="宋体" w:cs="宋体"/>
          <w:b/>
          <w:bCs/>
          <w:sz w:val="28"/>
          <w:szCs w:val="28"/>
          <w:lang w:eastAsia="zh-CN"/>
        </w:rPr>
        <w:t>和有关建议</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（一）争取经费，改善办学条件。积极争取各级财政经费和项目经费，添加仪器设备，加强实训基地建设，改善办学条件。</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二）深化改革，增强质量意识。一是深化教学改革。用先进的教育理念引领教师积极开展教学改革，把人才培养目标落实到教学环节中。二是改革教学模式。注重教学过程与工作过程、专业学习与岗位要求、理论知识与实践技能等相统一。 </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（三）健全制度，规范管理活动 。根据学校管理工作的需要，建立健全和完善工作机制、规章制度和方法。将督查考核结果与绩效奖励、资源配置结合起来，与个人晋级晋升相挂钩，确保各项制度落实到日常教学中去。</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ascii="Times New Roman" w:hAnsi="Times New Roman" w:eastAsia="仿宋_GB2312" w:cs="Times New Roman"/>
          <w:sz w:val="32"/>
          <w:szCs w:val="32"/>
        </w:rPr>
      </w:pPr>
      <w:r>
        <w:rPr>
          <w:rFonts w:hint="eastAsia" w:ascii="宋体" w:hAnsi="宋体" w:eastAsia="宋体" w:cs="宋体"/>
          <w:sz w:val="28"/>
          <w:szCs w:val="28"/>
        </w:rPr>
        <w:t>（四）优化环境，促进和谐发展。 一是优化育人环境。以教学为中心，以学生成长成才为根本，为学生的学习、生活提供更便捷的条件和更优美的环境。二是优化教师发展环境。改善教师办公条件和教学、科研环境，重视教师的个人发展，将教职工个人利益和学校利益有机结合起来。</w:t>
      </w:r>
    </w:p>
    <w:p>
      <w:pPr>
        <w:pStyle w:val="12"/>
        <w:spacing w:line="600" w:lineRule="exact"/>
        <w:ind w:firstLine="640" w:firstLineChars="200"/>
        <w:rPr>
          <w:rFonts w:ascii="Times New Roman" w:hAnsi="Times New Roman" w:eastAsia="仿宋_GB2312" w:cs="Times New Roman"/>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4C79BDD"/>
    <w:multiLevelType w:val="singleLevel"/>
    <w:tmpl w:val="C4C79BDD"/>
    <w:lvl w:ilvl="0" w:tentative="0">
      <w:start w:val="1"/>
      <w:numFmt w:val="decimal"/>
      <w:suff w:val="nothing"/>
      <w:lvlText w:val="%1、"/>
      <w:lvlJc w:val="left"/>
    </w:lvl>
  </w:abstractNum>
  <w:abstractNum w:abstractNumId="1">
    <w:nsid w:val="E2FACC5A"/>
    <w:multiLevelType w:val="singleLevel"/>
    <w:tmpl w:val="E2FACC5A"/>
    <w:lvl w:ilvl="0" w:tentative="0">
      <w:start w:val="3"/>
      <w:numFmt w:val="chineseCounting"/>
      <w:suff w:val="nothing"/>
      <w:lvlText w:val="（%1）"/>
      <w:lvlJc w:val="left"/>
      <w:rPr>
        <w:rFonts w:hint="eastAsia"/>
      </w:rPr>
    </w:lvl>
  </w:abstractNum>
  <w:abstractNum w:abstractNumId="2">
    <w:nsid w:val="EBE9F3DA"/>
    <w:multiLevelType w:val="singleLevel"/>
    <w:tmpl w:val="EBE9F3DA"/>
    <w:lvl w:ilvl="0" w:tentative="0">
      <w:start w:val="3"/>
      <w:numFmt w:val="decimal"/>
      <w:lvlText w:val="%1."/>
      <w:lvlJc w:val="left"/>
      <w:pPr>
        <w:tabs>
          <w:tab w:val="left" w:pos="312"/>
        </w:tabs>
      </w:pPr>
    </w:lvl>
  </w:abstractNum>
  <w:abstractNum w:abstractNumId="3">
    <w:nsid w:val="204C1407"/>
    <w:multiLevelType w:val="singleLevel"/>
    <w:tmpl w:val="204C1407"/>
    <w:lvl w:ilvl="0" w:tentative="0">
      <w:start w:val="1"/>
      <w:numFmt w:val="chineseCounting"/>
      <w:suff w:val="nothing"/>
      <w:lvlText w:val="（%1）"/>
      <w:lvlJc w:val="left"/>
      <w:rPr>
        <w:rFonts w:hint="eastAsia"/>
      </w:rPr>
    </w:lvl>
  </w:abstractNum>
  <w:abstractNum w:abstractNumId="4">
    <w:nsid w:val="4A846F6F"/>
    <w:multiLevelType w:val="singleLevel"/>
    <w:tmpl w:val="4A846F6F"/>
    <w:lvl w:ilvl="0" w:tentative="0">
      <w:start w:val="6"/>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0C303138"/>
    <w:rsid w:val="1D97DEFF"/>
    <w:rsid w:val="1DFF72E5"/>
    <w:rsid w:val="1EFC6F07"/>
    <w:rsid w:val="23E76EA7"/>
    <w:rsid w:val="2FDF85B8"/>
    <w:rsid w:val="2FFE3972"/>
    <w:rsid w:val="2FFFEE04"/>
    <w:rsid w:val="34DF85B0"/>
    <w:rsid w:val="358464B4"/>
    <w:rsid w:val="3B8F36BC"/>
    <w:rsid w:val="491FF225"/>
    <w:rsid w:val="4FB77084"/>
    <w:rsid w:val="4FFD214C"/>
    <w:rsid w:val="5777D4F5"/>
    <w:rsid w:val="59DD8326"/>
    <w:rsid w:val="5DEF592A"/>
    <w:rsid w:val="5FC6BB1E"/>
    <w:rsid w:val="5FF720F1"/>
    <w:rsid w:val="67FF5C0B"/>
    <w:rsid w:val="68B1585C"/>
    <w:rsid w:val="6D3809C5"/>
    <w:rsid w:val="6EFC0924"/>
    <w:rsid w:val="6FB74722"/>
    <w:rsid w:val="6FEF8B7E"/>
    <w:rsid w:val="70B709AB"/>
    <w:rsid w:val="71A6591B"/>
    <w:rsid w:val="737D59BA"/>
    <w:rsid w:val="77C37683"/>
    <w:rsid w:val="79D19834"/>
    <w:rsid w:val="79FF515B"/>
    <w:rsid w:val="7BF549BF"/>
    <w:rsid w:val="7D8A257C"/>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unhideWhenUsed/>
    <w:qFormat/>
    <w:uiPriority w:val="99"/>
    <w:pPr>
      <w:widowControl/>
      <w:spacing w:after="120"/>
      <w:ind w:left="420" w:leftChars="200"/>
      <w:jc w:val="left"/>
    </w:pPr>
    <w:rPr>
      <w:rFonts w:ascii="宋体" w:hAnsi="宋体" w:eastAsia="宋体" w:cs="宋体"/>
      <w:kern w:val="0"/>
      <w:sz w:val="24"/>
    </w:r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2"/>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6599</Words>
  <Characters>7524</Characters>
  <Lines>69</Lines>
  <Paragraphs>19</Paragraphs>
  <TotalTime>12</TotalTime>
  <ScaleCrop>false</ScaleCrop>
  <LinksUpToDate>false</LinksUpToDate>
  <CharactersWithSpaces>8843</CharactersWithSpaces>
  <Application>WPS Office_11.1.0.8415_F1E327BC-269C-435d-A152-05C5408002CA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Administrator</cp:lastModifiedBy>
  <cp:lastPrinted>2024-08-10T02:20:00Z</cp:lastPrinted>
  <dcterms:modified xsi:type="dcterms:W3CDTF">2026-09-04T08:07:41Z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2052-11.1.0.8415</vt:lpwstr>
  </property>
  <property fmtid="{D5CDD505-2E9C-101B-9397-08002B2CF9AE}" pid="3" name="ICV">
    <vt:lpwstr>B2F57AE50CD94CD5847BCE18C5D82DC4_13</vt:lpwstr>
  </property>
</Properties>
</file>