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道县国有资产运营服务中心</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eastAsia="zh-CN"/>
        </w:rPr>
        <w:t>道县国有资产运营服务中心</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道县国有资产运营服务中心</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协助财政部门履行出资人职责；建立和完善县属国有企业国有资产保值增值指标体系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协助财政部门做好县属国有企业国有资本运营预决算编制和执行工作；组织县属国有企业上交国有资本收益；了解并掌握县属国有企业监事会日常工作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会同有关部门做好县属国有企业工资分配管理工作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指导县属国有企业加强班子和队伍建设；会同相关部门核定县属国有企业和全资及控股子公司员额总数；负责县属国有企业中层负责人的人事调整备案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承担县属国有企业国有资本优化布局、企业产业结构调整等方面的事务性工作；推进县属国有企业的现代企业制度建设</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负责为县属国有企业资产的评估、产权交易、资产处置等提供服务；组织县属国有企业进行可行性论证；审核县属国有企业资本金变动、股权转让及发债方案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督促县属国有企业履行社会责任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建立全县经营性国有资产台账，拟定保值增值方案；参与全县经营性国有资产权属的产权界定、登记、资产纠纷处理；牵头做好制县属国有企业资产遗留问题的处理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完成县委、县政府交办的其他事项。</w:t>
      </w:r>
    </w:p>
    <w:p>
      <w:pPr>
        <w:widowControl/>
        <w:spacing w:line="600" w:lineRule="exact"/>
        <w:rPr>
          <w:rFonts w:ascii="Times New Roman" w:hAnsi="Times New Roman" w:eastAsia="黑体" w:cs="Times New Roman"/>
          <w:bCs/>
          <w:kern w:val="0"/>
          <w:sz w:val="32"/>
          <w:szCs w:val="32"/>
        </w:rPr>
      </w:pPr>
    </w:p>
    <w:p>
      <w:pPr>
        <w:widowControl/>
        <w:spacing w:line="600" w:lineRule="exact"/>
        <w:rPr>
          <w:rFonts w:ascii="Times New Roman" w:hAnsi="Times New Roman" w:eastAsia="黑体" w:cs="Times New Roman"/>
          <w:bCs/>
          <w:kern w:val="0"/>
          <w:sz w:val="32"/>
          <w:szCs w:val="32"/>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560" w:lineRule="exact"/>
        <w:ind w:firstLine="640" w:firstLineChars="200"/>
        <w:jc w:val="lef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本单位下设综合办公室、规划发展与改革改制室、党建人事与社会责任室、产权管理与运营考核室。</w:t>
      </w:r>
    </w:p>
    <w:p>
      <w:pPr>
        <w:widowControl/>
        <w:numPr>
          <w:ilvl w:val="0"/>
          <w:numId w:val="0"/>
        </w:numPr>
        <w:spacing w:line="600" w:lineRule="exact"/>
        <w:ind w:firstLine="640" w:firstLineChars="2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eastAsia="zh-CN"/>
        </w:rPr>
        <w:t>道县国有资产运营服务中心</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仿宋_GB2312"/>
          <w:bCs/>
          <w:kern w:val="0"/>
          <w:sz w:val="32"/>
          <w:szCs w:val="32"/>
          <w:lang w:eastAsia="zh-CN"/>
        </w:rPr>
        <w:t>道县国有资产运营服务中心</w:t>
      </w:r>
      <w:r>
        <w:rPr>
          <w:rFonts w:hint="eastAsia" w:ascii="Times New Roman" w:hAnsi="Times New Roman" w:eastAsia="仿宋_GB2312" w:cs="仿宋_GB2312"/>
          <w:bCs/>
          <w:kern w:val="0"/>
          <w:sz w:val="32"/>
          <w:szCs w:val="32"/>
        </w:rPr>
        <w:t>单位本级</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124</w:t>
            </w:r>
            <w:r>
              <w:rPr>
                <w:rFonts w:hint="default" w:ascii="Times New Roman" w:hAnsi="Times New Roman" w:eastAsia="仿宋_GB2312" w:cs="Times New Roman"/>
                <w:color w:val="000000"/>
                <w:sz w:val="22"/>
                <w:lang w:val="en-US"/>
              </w:rPr>
              <w:t>.</w:t>
            </w:r>
            <w:r>
              <w:rPr>
                <w:rFonts w:hint="eastAsia" w:ascii="Times New Roman" w:hAnsi="Times New Roman" w:eastAsia="仿宋_GB2312" w:cs="Times New Roman"/>
                <w:color w:val="000000"/>
                <w:sz w:val="22"/>
              </w:rPr>
              <w:t>98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124</w:t>
            </w:r>
            <w:r>
              <w:rPr>
                <w:rFonts w:hint="default" w:ascii="Times New Roman" w:hAnsi="Times New Roman" w:eastAsia="仿宋_GB2312" w:cs="Times New Roman"/>
                <w:color w:val="000000"/>
                <w:sz w:val="22"/>
                <w:lang w:val="en-US"/>
              </w:rPr>
              <w:t>.</w:t>
            </w:r>
            <w:r>
              <w:rPr>
                <w:rFonts w:hint="eastAsia" w:ascii="Times New Roman" w:hAnsi="Times New Roman" w:eastAsia="仿宋_GB2312" w:cs="Times New Roman"/>
                <w:color w:val="000000"/>
                <w:sz w:val="22"/>
              </w:rPr>
              <w:t>98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rPr>
            </w:pPr>
            <w:r>
              <w:rPr>
                <w:rFonts w:hint="default" w:ascii="Times New Roman" w:hAnsi="Times New Roman" w:eastAsia="仿宋_GB2312" w:cs="Times New Roman"/>
                <w:color w:val="000000"/>
                <w:sz w:val="22"/>
                <w:lang w:val="en-US"/>
              </w:rPr>
              <w:t>1.97</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124</w:t>
            </w:r>
            <w:r>
              <w:rPr>
                <w:rFonts w:hint="default" w:ascii="Times New Roman" w:hAnsi="Times New Roman" w:eastAsia="仿宋_GB2312" w:cs="Times New Roman"/>
                <w:color w:val="000000"/>
                <w:sz w:val="22"/>
                <w:lang w:val="en-US"/>
              </w:rPr>
              <w:t>.</w:t>
            </w:r>
            <w:r>
              <w:rPr>
                <w:rFonts w:hint="eastAsia" w:ascii="Times New Roman" w:hAnsi="Times New Roman" w:eastAsia="仿宋_GB2312" w:cs="Times New Roman"/>
                <w:color w:val="000000"/>
                <w:sz w:val="22"/>
              </w:rPr>
              <w:t>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color w:val="000000"/>
                <w:sz w:val="22"/>
                <w:lang w:val="en-US"/>
              </w:rPr>
            </w:pPr>
            <w:r>
              <w:rPr>
                <w:rFonts w:hint="default" w:ascii="Times New Roman" w:hAnsi="Times New Roman" w:eastAsia="仿宋_GB2312" w:cs="Times New Roman"/>
                <w:color w:val="000000"/>
                <w:sz w:val="22"/>
                <w:lang w:val="en-US"/>
              </w:rPr>
              <w:t>126.95</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default" w:ascii="Times New Roman" w:hAnsi="Times New Roman" w:eastAsia="仿宋_GB2312" w:cs="Times New Roman"/>
                <w:color w:val="000000"/>
                <w:sz w:val="22"/>
                <w:lang w:val="en-US"/>
              </w:rPr>
              <w:t>1.97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default" w:ascii="Times New Roman" w:hAnsi="Times New Roman" w:eastAsia="仿宋_GB2312" w:cs="Times New Roman"/>
                <w:color w:val="000000"/>
                <w:sz w:val="22"/>
                <w:lang w:val="en-US"/>
              </w:rPr>
              <w:t>126.95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632"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124</w:t>
            </w:r>
            <w:r>
              <w:rPr>
                <w:rFonts w:hint="default" w:ascii="Times New Roman" w:hAnsi="Times New Roman" w:eastAsia="仿宋_GB2312" w:cs="Times New Roman"/>
                <w:lang w:val="en-US"/>
              </w:rPr>
              <w:t>.</w:t>
            </w:r>
            <w:r>
              <w:rPr>
                <w:rFonts w:hint="eastAsia" w:ascii="Times New Roman" w:hAnsi="Times New Roman" w:eastAsia="仿宋_GB2312" w:cs="Times New Roman"/>
              </w:rPr>
              <w:t>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124</w:t>
            </w:r>
            <w:r>
              <w:rPr>
                <w:rFonts w:hint="default" w:ascii="Times New Roman" w:hAnsi="Times New Roman" w:eastAsia="仿宋_GB2312" w:cs="Times New Roman"/>
                <w:lang w:val="en-US"/>
              </w:rPr>
              <w:t>.</w:t>
            </w:r>
            <w:r>
              <w:rPr>
                <w:rFonts w:hint="eastAsia" w:ascii="Times New Roman" w:hAnsi="Times New Roman" w:eastAsia="仿宋_GB2312" w:cs="Times New Roman"/>
              </w:rPr>
              <w:t>98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2010350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87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79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其他政府办公厅（室）及相关机构事务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1658"/>
        <w:gridCol w:w="4396"/>
        <w:gridCol w:w="1877"/>
        <w:gridCol w:w="1334"/>
        <w:gridCol w:w="1334"/>
        <w:gridCol w:w="1112"/>
        <w:gridCol w:w="569"/>
        <w:gridCol w:w="1931"/>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126</w:t>
            </w:r>
            <w:r>
              <w:rPr>
                <w:rFonts w:hint="default"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95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87</w:t>
            </w:r>
            <w:r>
              <w:rPr>
                <w:rFonts w:hint="default"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79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39</w:t>
            </w:r>
            <w:r>
              <w:rPr>
                <w:rFonts w:hint="default"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16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2010350</w:t>
            </w:r>
          </w:p>
        </w:tc>
        <w:tc>
          <w:tcPr>
            <w:tcW w:w="47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事业运行</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87.79 </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87.79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2010399</w:t>
            </w:r>
          </w:p>
        </w:tc>
        <w:tc>
          <w:tcPr>
            <w:tcW w:w="47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19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19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2150799</w:t>
            </w:r>
          </w:p>
        </w:tc>
        <w:tc>
          <w:tcPr>
            <w:tcW w:w="47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其他国有资产监管支出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97 </w:t>
            </w:r>
          </w:p>
        </w:tc>
        <w:tc>
          <w:tcPr>
            <w:tcW w:w="1334"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97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pStyle w:val="2"/>
        <w:rPr>
          <w:rFonts w:ascii="Times New Roman" w:hAnsi="Times New Roman" w:eastAsia="黑体" w:cs="Times New Roman"/>
          <w:color w:val="000000"/>
          <w:kern w:val="0"/>
          <w:sz w:val="32"/>
          <w:szCs w:val="32"/>
          <w:lang w:bidi="ar"/>
        </w:rPr>
      </w:pPr>
    </w:p>
    <w:p>
      <w:pPr>
        <w:rPr>
          <w:rFonts w:ascii="Times New Roman" w:hAnsi="Times New Roman" w:eastAsia="黑体" w:cs="Times New Roman"/>
          <w:color w:val="000000"/>
          <w:kern w:val="0"/>
          <w:sz w:val="32"/>
          <w:szCs w:val="32"/>
          <w:lang w:bidi="ar"/>
        </w:rPr>
      </w:pPr>
    </w:p>
    <w:p>
      <w:pPr>
        <w:pStyle w:val="2"/>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821"/>
        <w:gridCol w:w="3516"/>
        <w:gridCol w:w="616"/>
        <w:gridCol w:w="696"/>
        <w:gridCol w:w="1620"/>
        <w:gridCol w:w="1364"/>
        <w:gridCol w:w="1455"/>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rPr>
              <w:t>124</w:t>
            </w:r>
            <w:r>
              <w:rPr>
                <w:rFonts w:hint="default" w:ascii="Times New Roman" w:hAnsi="Times New Roman" w:eastAsia="仿宋_GB2312" w:cs="Times New Roman"/>
                <w:lang w:val="en-US"/>
              </w:rPr>
              <w:t>.</w:t>
            </w:r>
            <w:r>
              <w:rPr>
                <w:rFonts w:hint="eastAsia" w:ascii="Times New Roman" w:hAnsi="Times New Roman" w:eastAsia="仿宋_GB2312" w:cs="Times New Roman"/>
              </w:rPr>
              <w:t>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rPr>
              <w:t>124</w:t>
            </w:r>
            <w:r>
              <w:rPr>
                <w:rFonts w:hint="default" w:ascii="Times New Roman" w:hAnsi="Times New Roman" w:eastAsia="仿宋_GB2312" w:cs="Times New Roman"/>
                <w:lang w:val="en-US"/>
              </w:rPr>
              <w:t>.</w:t>
            </w:r>
            <w:r>
              <w:rPr>
                <w:rFonts w:hint="eastAsia" w:ascii="Times New Roman" w:hAnsi="Times New Roman" w:eastAsia="仿宋_GB2312" w:cs="Times New Roman"/>
              </w:rPr>
              <w:t>98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rPr>
            </w:pPr>
            <w:r>
              <w:rPr>
                <w:rFonts w:ascii="Times New Roman" w:hAnsi="Times New Roman" w:eastAsia="仿宋_GB2312" w:cs="Times New Roman"/>
                <w:kern w:val="0"/>
                <w:sz w:val="22"/>
              </w:rPr>
              <w:t>　</w:t>
            </w:r>
            <w:r>
              <w:rPr>
                <w:rFonts w:hint="default" w:ascii="Times New Roman" w:hAnsi="Times New Roman" w:eastAsia="仿宋_GB2312" w:cs="Times New Roman"/>
                <w:kern w:val="0"/>
                <w:sz w:val="22"/>
                <w:lang w:val="en-US"/>
              </w:rPr>
              <w:t>1.97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124.98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126.95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1.97</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default" w:ascii="Times New Roman" w:hAnsi="Times New Roman" w:eastAsia="仿宋_GB2312" w:cs="Times New Roman"/>
                <w:kern w:val="0"/>
                <w:sz w:val="22"/>
                <w:lang w:val="en-US"/>
              </w:rPr>
              <w:t>126.95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default" w:ascii="Times New Roman" w:hAnsi="Times New Roman" w:eastAsia="仿宋_GB2312" w:cs="Times New Roman"/>
                <w:kern w:val="0"/>
                <w:sz w:val="22"/>
                <w:lang w:val="en-US"/>
              </w:rPr>
              <w:t>126.95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Pr>
        <w:rPr>
          <w:rFonts w:ascii="Times New Roman" w:hAnsi="Times New Roman" w:eastAsia="方正小标宋_GBK" w:cs="Times New Roman"/>
          <w:kern w:val="0"/>
          <w:sz w:val="36"/>
          <w:szCs w:val="36"/>
        </w:rPr>
      </w:pPr>
    </w:p>
    <w:p>
      <w:pPr>
        <w:pStyle w:val="2"/>
      </w:pPr>
    </w:p>
    <w:p>
      <w:pPr>
        <w:rPr>
          <w:rFonts w:ascii="Times New Roman" w:hAnsi="Times New Roman" w:eastAsia="方正小标宋_GBK" w:cs="Times New Roman"/>
          <w:kern w:val="0"/>
          <w:sz w:val="36"/>
          <w:szCs w:val="36"/>
        </w:rPr>
      </w:pPr>
    </w:p>
    <w:p>
      <w:pPr>
        <w:pStyle w:val="2"/>
        <w:rPr>
          <w:rFonts w:ascii="Times New Roman" w:hAnsi="Times New Roman" w:eastAsia="方正小标宋_GBK" w:cs="Times New Roman"/>
          <w:kern w:val="0"/>
          <w:sz w:val="36"/>
          <w:szCs w:val="36"/>
        </w:rPr>
      </w:pPr>
    </w:p>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126</w:t>
            </w:r>
            <w:r>
              <w:rPr>
                <w:rFonts w:hint="default"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95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87</w:t>
            </w:r>
            <w:r>
              <w:rPr>
                <w:rFonts w:hint="default"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79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39</w:t>
            </w:r>
            <w:r>
              <w:rPr>
                <w:rFonts w:hint="default" w:ascii="宋体" w:hAnsi="宋体" w:eastAsia="宋体" w:cs="宋体"/>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16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2010350</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87.79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87.79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19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37</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19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2150799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其他国有资产监管支出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97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97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94" w:type="dxa"/>
        <w:jc w:val="center"/>
        <w:tblLayout w:type="fixed"/>
        <w:tblCellMar>
          <w:top w:w="0" w:type="dxa"/>
          <w:left w:w="108" w:type="dxa"/>
          <w:bottom w:w="0" w:type="dxa"/>
          <w:right w:w="108" w:type="dxa"/>
        </w:tblCellMar>
      </w:tblPr>
      <w:tblGrid>
        <w:gridCol w:w="1081"/>
        <w:gridCol w:w="2740"/>
        <w:gridCol w:w="1076"/>
        <w:gridCol w:w="1116"/>
        <w:gridCol w:w="2018"/>
        <w:gridCol w:w="933"/>
        <w:gridCol w:w="1217"/>
        <w:gridCol w:w="3291"/>
        <w:gridCol w:w="1222"/>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4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29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2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76.50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9.99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47.99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1.20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16.31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1.30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1.30</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7.95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4.26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0.4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3.19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2.81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4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0"/>
                <w:lang w:val="en-US"/>
              </w:rPr>
              <w:t>2.38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29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8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07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default" w:ascii="Times New Roman" w:hAnsi="Times New Roman" w:eastAsia="仿宋_GB2312" w:cs="Times New Roman"/>
                <w:color w:val="000000"/>
                <w:kern w:val="0"/>
                <w:szCs w:val="24"/>
                <w:lang w:val="en-US"/>
              </w:rPr>
              <w:t>76.50</w:t>
            </w:r>
          </w:p>
        </w:tc>
        <w:tc>
          <w:tcPr>
            <w:tcW w:w="8575"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222"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rPr>
            </w:pPr>
            <w:r>
              <w:rPr>
                <w:rFonts w:ascii="Times New Roman" w:hAnsi="Times New Roman" w:eastAsia="仿宋_GB2312" w:cs="Times New Roman"/>
                <w:color w:val="000000"/>
                <w:kern w:val="0"/>
                <w:szCs w:val="18"/>
              </w:rPr>
              <w:t>　</w:t>
            </w:r>
            <w:r>
              <w:rPr>
                <w:rFonts w:hint="default" w:ascii="Times New Roman" w:hAnsi="Times New Roman" w:eastAsia="仿宋_GB2312" w:cs="Times New Roman"/>
                <w:color w:val="000000"/>
                <w:kern w:val="0"/>
                <w:szCs w:val="18"/>
                <w:lang w:val="en-US"/>
              </w:rPr>
              <w:t>11.29</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spacing w:line="400" w:lineRule="exact"/>
        <w:textAlignment w:val="center"/>
        <w:rPr>
          <w:rFonts w:ascii="Times New Roman" w:hAnsi="Times New Roman" w:eastAsia="黑体" w:cs="Times New Roman"/>
          <w:color w:val="000000"/>
          <w:kern w:val="0"/>
          <w:sz w:val="36"/>
          <w:szCs w:val="36"/>
          <w:lang w:bidi="ar"/>
        </w:rPr>
      </w:pPr>
    </w:p>
    <w:p>
      <w:pPr>
        <w:pStyle w:val="2"/>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，收、支出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rPr>
        <w:t>126.95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17.15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2025年人员增加1名，且2024年新进人员有3名为8月进入，1名12月进入，未计入2024年公用经费预算，产生的人员经费未覆盖全年。</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全县国有“三资”清查处置与管理改革专项工作、国有企业年度经营利润审计、行政事业单位国有资产网络维护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124.98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124.98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另有年初财政拨款结转和结余</w:t>
      </w:r>
      <w:r>
        <w:rPr>
          <w:rFonts w:hint="eastAsia" w:ascii="Times New Roman" w:hAnsi="Times New Roman" w:eastAsia="仿宋_GB2312" w:cs="Times New Roman"/>
          <w:sz w:val="32"/>
          <w:szCs w:val="32"/>
          <w:lang w:val="en-US" w:eastAsia="zh-CN"/>
        </w:rPr>
        <w:t>1.97万元，总计126.95万元。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126.95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87.79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70.73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39.16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29.27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126.95</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17.15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2025年人员增加1名，且2024年新进人员有3名为8月进入，1名12月进入，未计入2024年公用经费预算，产生的人员经费未覆盖全年。</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126.95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17.15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15.62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2025年人员增加1名，且2024年新进人员有3名为8月进入，1名12月进入，未计入2024年公用经费预算，产生的人员经费未覆盖全年。</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126.95</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一般公共服务（类）支出</w:t>
      </w:r>
      <w:r>
        <w:rPr>
          <w:rFonts w:hint="eastAsia" w:ascii="Times New Roman" w:hAnsi="Times New Roman" w:eastAsia="仿宋_GB2312"/>
          <w:sz w:val="32"/>
          <w:szCs w:val="32"/>
          <w:lang w:val="en-US" w:eastAsia="zh-CN"/>
        </w:rPr>
        <w:t>124.98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98.45</w:t>
      </w:r>
      <w:r>
        <w:rPr>
          <w:rFonts w:hint="eastAsia" w:ascii="Times New Roman" w:hAnsi="Times New Roman" w:eastAsia="仿宋_GB2312"/>
          <w:sz w:val="32"/>
          <w:szCs w:val="32"/>
        </w:rPr>
        <w:t>%；资源勘探工业信息等支出</w:t>
      </w:r>
      <w:r>
        <w:rPr>
          <w:rFonts w:hint="eastAsia" w:ascii="Times New Roman" w:hAnsi="Times New Roman" w:eastAsia="仿宋_GB2312"/>
          <w:sz w:val="32"/>
          <w:szCs w:val="32"/>
          <w:lang w:val="en-US" w:eastAsia="zh-CN"/>
        </w:rPr>
        <w:t>1.97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1.55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132.30</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126.95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95.96</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事业运行</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87.90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87.79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99.87</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2025年12月</w:t>
      </w:r>
      <w:r>
        <w:rPr>
          <w:rFonts w:hint="eastAsia" w:ascii="Times New Roman" w:hAnsi="Times New Roman" w:eastAsia="仿宋_GB2312" w:cs="Times New Roman"/>
          <w:sz w:val="32"/>
          <w:szCs w:val="32"/>
          <w:lang w:eastAsia="zh-CN"/>
        </w:rPr>
        <w:t>社保缴费失败，指标结转。</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sz w:val="32"/>
          <w:szCs w:val="32"/>
        </w:rPr>
        <w:t>一般公共服务（类）其他政府办公厅（室）及相关机构事务支出（项）</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44.4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83.76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rPr>
        <w:t>其中增加部分为新增一个项目“2024年度资产盘活工作经费”11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67</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rPr>
        <w:t>元，减少部分为“国有企业项目分析论证费用”减少4</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rPr>
        <w:t>元，“全县国有‘三资’清查处置与管理改革专项工作经费”减少12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rPr>
        <w:t>元，“国有企业年度经营利润审计费用”减少2</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rPr>
        <w:t>元。</w:t>
      </w:r>
    </w:p>
    <w:p>
      <w:pPr>
        <w:pStyle w:val="14"/>
        <w:overflowPunct w:val="0"/>
        <w:autoSpaceDE/>
        <w:autoSpaceDN/>
        <w:spacing w:line="600" w:lineRule="exact"/>
        <w:ind w:firstLine="640" w:firstLineChars="200"/>
        <w:jc w:val="both"/>
        <w:rPr>
          <w:rFonts w:hint="eastAsia" w:ascii="仿宋_GB2312" w:hAnsi="仿宋" w:eastAsia="仿宋_GB2312" w:cs="仿宋"/>
          <w:bCs/>
          <w:sz w:val="32"/>
          <w:szCs w:val="32"/>
          <w:lang w:eastAsia="zh-CN"/>
        </w:rPr>
      </w:pPr>
      <w:r>
        <w:rPr>
          <w:rFonts w:hint="eastAsia" w:ascii="Times New Roman" w:hAnsi="Times New Roman" w:eastAsia="仿宋_GB2312"/>
          <w:sz w:val="32"/>
          <w:szCs w:val="32"/>
          <w:lang w:val="en-US" w:eastAsia="zh-CN"/>
        </w:rPr>
        <w:t>3、资</w:t>
      </w:r>
      <w:r>
        <w:rPr>
          <w:rFonts w:hint="eastAsia" w:ascii="仿宋_GB2312" w:hAnsi="仿宋" w:eastAsia="仿宋_GB2312" w:cs="仿宋"/>
          <w:bCs/>
          <w:sz w:val="32"/>
          <w:szCs w:val="32"/>
          <w:lang w:val="en-US" w:eastAsia="zh-CN"/>
        </w:rPr>
        <w:t>源勘探工业信息等支出</w:t>
      </w:r>
      <w:r>
        <w:rPr>
          <w:rFonts w:hint="eastAsia" w:ascii="Times New Roman" w:hAnsi="Times New Roman" w:eastAsia="仿宋_GB2312"/>
          <w:sz w:val="32"/>
          <w:szCs w:val="32"/>
        </w:rPr>
        <w:t>（类）</w:t>
      </w:r>
      <w:r>
        <w:rPr>
          <w:rFonts w:hint="eastAsia" w:ascii="仿宋_GB2312" w:hAnsi="仿宋" w:eastAsia="仿宋_GB2312" w:cs="仿宋"/>
          <w:bCs/>
          <w:sz w:val="32"/>
          <w:szCs w:val="32"/>
          <w:lang w:val="en-US" w:eastAsia="zh-CN"/>
        </w:rPr>
        <w:t>其他国有资产监管支出</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s="Times New Roman"/>
          <w:sz w:val="32"/>
          <w:szCs w:val="32"/>
          <w:lang w:eastAsia="zh-CN"/>
        </w:rPr>
        <w:t>年初财政拨款结转和结余</w:t>
      </w:r>
      <w:r>
        <w:rPr>
          <w:rFonts w:hint="eastAsia" w:ascii="Times New Roman" w:hAnsi="Times New Roman" w:eastAsia="仿宋_GB2312" w:cs="Times New Roman"/>
          <w:sz w:val="32"/>
          <w:szCs w:val="32"/>
          <w:lang w:val="en-US" w:eastAsia="zh-CN"/>
        </w:rPr>
        <w:t>1.97万元，</w:t>
      </w:r>
      <w:r>
        <w:rPr>
          <w:rFonts w:hint="eastAsia" w:ascii="Times New Roman" w:hAnsi="Times New Roman" w:eastAsia="仿宋_GB2312"/>
          <w:sz w:val="32"/>
          <w:szCs w:val="32"/>
        </w:rPr>
        <w:t>支出决算为</w:t>
      </w:r>
      <w:r>
        <w:rPr>
          <w:rFonts w:hint="eastAsia" w:ascii="Times New Roman" w:hAnsi="Times New Roman" w:eastAsia="仿宋_GB2312"/>
          <w:sz w:val="32"/>
          <w:szCs w:val="32"/>
          <w:lang w:val="en-US" w:eastAsia="zh-CN"/>
        </w:rPr>
        <w:t>1.97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等于</w:t>
      </w:r>
      <w:r>
        <w:rPr>
          <w:rFonts w:hint="eastAsia" w:ascii="仿宋_GB2312" w:hAnsi="仿宋" w:eastAsia="仿宋_GB2312" w:cs="仿宋"/>
          <w:bCs/>
          <w:sz w:val="32"/>
          <w:szCs w:val="32"/>
        </w:rPr>
        <w:t>年初财政拨款结转和结余</w:t>
      </w:r>
      <w:r>
        <w:rPr>
          <w:rFonts w:hint="eastAsia" w:ascii="仿宋_GB2312" w:hAnsi="仿宋" w:eastAsia="仿宋_GB2312" w:cs="仿宋"/>
          <w:bCs/>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事业运行</w:t>
      </w:r>
      <w:r>
        <w:rPr>
          <w:rFonts w:hint="eastAsia" w:ascii="Times New Roman" w:hAnsi="Times New Roman" w:eastAsia="仿宋_GB2312" w:cs="Times New Roman"/>
          <w:sz w:val="32"/>
          <w:szCs w:val="32"/>
        </w:rPr>
        <w:t>方面的支出规模较大，主要是：事业运行，2025年度决算数为</w:t>
      </w:r>
      <w:r>
        <w:rPr>
          <w:rFonts w:hint="eastAsia" w:ascii="Times New Roman" w:hAnsi="Times New Roman" w:eastAsia="仿宋_GB2312" w:cs="Times New Roman"/>
          <w:sz w:val="32"/>
          <w:szCs w:val="32"/>
          <w:lang w:val="en-US" w:eastAsia="zh-CN"/>
        </w:rPr>
        <w:t>87.79万元</w:t>
      </w:r>
      <w:r>
        <w:rPr>
          <w:rFonts w:hint="eastAsia" w:ascii="Times New Roman" w:hAnsi="Times New Roman" w:eastAsia="仿宋_GB2312" w:cs="Times New Roman"/>
          <w:sz w:val="32"/>
          <w:szCs w:val="32"/>
        </w:rPr>
        <w:t>，占财政拨款支出总额的</w:t>
      </w:r>
      <w:r>
        <w:rPr>
          <w:rFonts w:hint="eastAsia" w:ascii="Times New Roman" w:hAnsi="Times New Roman" w:eastAsia="仿宋_GB2312" w:cs="Times New Roman"/>
          <w:sz w:val="32"/>
          <w:szCs w:val="32"/>
          <w:lang w:val="en-US" w:eastAsia="zh-CN"/>
        </w:rPr>
        <w:t>69.15</w:t>
      </w:r>
      <w:r>
        <w:rPr>
          <w:rFonts w:hint="eastAsia" w:ascii="Times New Roman" w:hAnsi="Times New Roman" w:eastAsia="仿宋_GB2312" w:cs="Times New Roman"/>
          <w:sz w:val="32"/>
          <w:szCs w:val="32"/>
        </w:rPr>
        <w:t>%，主要用于工资奖金津补贴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办公设备购置等方面</w:t>
      </w:r>
      <w:r>
        <w:rPr>
          <w:rFonts w:hint="eastAsia" w:ascii="Times New Roman" w:hAnsi="Times New Roman" w:eastAsia="楷体_GB2312" w:cs="Times New Roman"/>
          <w:b/>
          <w:bCs/>
          <w:i/>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87.79</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3"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76.5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87.14</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47.99万元</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lang w:val="en-US" w:eastAsia="zh-CN"/>
        </w:rPr>
        <w:t>16.31万元、社保12.2万元。</w:t>
      </w:r>
    </w:p>
    <w:p>
      <w:pPr>
        <w:pStyle w:val="14"/>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11.29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12.86</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办公设备购置1</w:t>
      </w:r>
      <w:r>
        <w:rPr>
          <w:rFonts w:hint="eastAsia" w:ascii="Times New Roman" w:hAnsi="Times New Roman" w:eastAsia="仿宋_GB2312" w:cs="Times New Roman"/>
          <w:sz w:val="32"/>
          <w:szCs w:val="32"/>
          <w:lang w:val="en-US" w:eastAsia="zh-CN"/>
        </w:rPr>
        <w:t>.3万</w:t>
      </w:r>
      <w:r>
        <w:rPr>
          <w:rFonts w:hint="eastAsia" w:ascii="Times New Roman" w:hAnsi="Times New Roman" w:eastAsia="仿宋_GB2312" w:cs="Times New Roman"/>
          <w:sz w:val="32"/>
          <w:szCs w:val="32"/>
        </w:rPr>
        <w:t>元，办公费1</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万</w:t>
      </w:r>
      <w:r>
        <w:rPr>
          <w:rFonts w:hint="eastAsia" w:ascii="Times New Roman" w:hAnsi="Times New Roman" w:eastAsia="仿宋_GB2312" w:cs="Times New Roman"/>
          <w:sz w:val="32"/>
          <w:szCs w:val="32"/>
        </w:rPr>
        <w:t>元，差旅费</w:t>
      </w:r>
      <w:r>
        <w:rPr>
          <w:rFonts w:hint="eastAsia" w:ascii="Times New Roman" w:hAnsi="Times New Roman" w:eastAsia="仿宋_GB2312" w:cs="Times New Roman"/>
          <w:sz w:val="32"/>
          <w:szCs w:val="32"/>
          <w:lang w:val="en-US" w:eastAsia="zh-CN"/>
        </w:rPr>
        <w:t>0.4万</w:t>
      </w:r>
      <w:r>
        <w:rPr>
          <w:rFonts w:hint="eastAsia" w:ascii="Times New Roman" w:hAnsi="Times New Roman" w:eastAsia="仿宋_GB2312" w:cs="Times New Roman"/>
          <w:sz w:val="32"/>
          <w:szCs w:val="32"/>
        </w:rPr>
        <w:t>元，工会经费3</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19</w:t>
      </w:r>
      <w:r>
        <w:rPr>
          <w:rFonts w:hint="eastAsia" w:ascii="Times New Roman" w:hAnsi="Times New Roman" w:eastAsia="仿宋_GB2312" w:cs="Times New Roman"/>
          <w:sz w:val="32"/>
          <w:szCs w:val="32"/>
          <w:lang w:val="en-US" w:eastAsia="zh-CN"/>
        </w:rPr>
        <w:t>万</w:t>
      </w:r>
      <w:r>
        <w:rPr>
          <w:rFonts w:hint="eastAsia" w:ascii="Times New Roman" w:hAnsi="Times New Roman" w:eastAsia="仿宋_GB2312" w:cs="Times New Roman"/>
          <w:sz w:val="32"/>
          <w:szCs w:val="32"/>
        </w:rPr>
        <w:t>元，福利费2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8</w:t>
      </w:r>
      <w:r>
        <w:rPr>
          <w:rFonts w:hint="eastAsia" w:ascii="Times New Roman" w:hAnsi="Times New Roman" w:eastAsia="仿宋_GB2312" w:cs="Times New Roman"/>
          <w:sz w:val="32"/>
          <w:szCs w:val="32"/>
          <w:lang w:val="en-US" w:eastAsia="zh-CN"/>
        </w:rPr>
        <w:t>2万</w:t>
      </w:r>
      <w:r>
        <w:rPr>
          <w:rFonts w:hint="eastAsia" w:ascii="Times New Roman" w:hAnsi="Times New Roman" w:eastAsia="仿宋_GB2312" w:cs="Times New Roman"/>
          <w:sz w:val="32"/>
          <w:szCs w:val="32"/>
        </w:rPr>
        <w:t>元，其他商品和服务支出2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38</w:t>
      </w:r>
      <w:r>
        <w:rPr>
          <w:rFonts w:hint="eastAsia" w:ascii="Times New Roman" w:hAnsi="Times New Roman" w:eastAsia="仿宋_GB2312" w:cs="Times New Roman"/>
          <w:sz w:val="32"/>
          <w:szCs w:val="32"/>
          <w:lang w:val="en-US" w:eastAsia="zh-CN"/>
        </w:rPr>
        <w:t>万</w:t>
      </w:r>
      <w:r>
        <w:rPr>
          <w:rFonts w:hint="eastAsia" w:ascii="Times New Roman" w:hAnsi="Times New Roman" w:eastAsia="仿宋_GB2312" w:cs="Times New Roman"/>
          <w:sz w:val="32"/>
          <w:szCs w:val="32"/>
        </w:rPr>
        <w:t>元</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取消了公务接待</w:t>
      </w:r>
      <w:r>
        <w:rPr>
          <w:rFonts w:ascii="Times New Roman" w:hAnsi="Times New Roman" w:eastAsia="仿宋_GB2312" w:cs="Times New Roman"/>
          <w:sz w:val="32"/>
          <w:szCs w:val="32"/>
        </w:rPr>
        <w:t>。</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themeColor="text1"/>
          <w:sz w:val="32"/>
          <w:szCs w:val="32"/>
          <w14:textFill>
            <w14:solidFill>
              <w14:schemeClr w14:val="tx1"/>
            </w14:solidFill>
          </w14:textFill>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keepNext w:val="0"/>
        <w:keepLines w:val="0"/>
        <w:pageBreakBefore w:val="0"/>
        <w:widowControl w:val="0"/>
        <w:kinsoku/>
        <w:wordWrap/>
        <w:overflowPunct/>
        <w:topLinePunct w:val="0"/>
        <w:bidi w:val="0"/>
        <w:snapToGrid/>
        <w:spacing w:line="600" w:lineRule="exact"/>
        <w:ind w:firstLine="64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本单位无政府性基金收支。</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spacing w:line="600" w:lineRule="exact"/>
        <w:ind w:firstLine="800" w:firstLineChars="250"/>
        <w:rPr>
          <w:rFonts w:hint="eastAsia" w:ascii="Times New Roman" w:hAnsi="Times New Roman" w:eastAsia="仿宋_GB2312"/>
          <w:color w:val="000000" w:themeColor="text1"/>
          <w:sz w:val="32"/>
          <w:szCs w:val="32"/>
          <w:lang w:eastAsia="zh-CN"/>
          <w14:textFill>
            <w14:solidFill>
              <w14:schemeClr w14:val="tx1"/>
            </w14:solidFill>
          </w14:textFill>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olor w:val="000000" w:themeColor="text1"/>
          <w:sz w:val="32"/>
          <w:szCs w:val="32"/>
          <w14:textFill>
            <w14:solidFill>
              <w14:schemeClr w14:val="tx1"/>
            </w14:solidFill>
          </w14:textFill>
        </w:rPr>
        <w:t>，主要是因为主要是因为</w:t>
      </w:r>
      <w:r>
        <w:rPr>
          <w:rFonts w:hint="eastAsia" w:ascii="Times New Roman" w:hAnsi="Times New Roman" w:eastAsia="仿宋_GB2312"/>
          <w:color w:val="000000" w:themeColor="text1"/>
          <w:sz w:val="32"/>
          <w:szCs w:val="32"/>
          <w:lang w:eastAsia="zh-CN"/>
          <w14:textFill>
            <w14:solidFill>
              <w14:schemeClr w14:val="tx1"/>
            </w14:solidFill>
          </w14:textFill>
        </w:rPr>
        <w:t>中心为非参公事业单位。</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举办节庆、晚会、论坛、赛事活动，开支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25.90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2.90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25.90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25.90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11.2</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88.8</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113.38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113.38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jc w:val="left"/>
        <w:textAlignment w:val="auto"/>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132.28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113.38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85.71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96.57</w:t>
      </w:r>
      <w:r>
        <w:rPr>
          <w:rFonts w:ascii="Times New Roman" w:hAnsi="Times New Roman" w:eastAsia="仿宋_GB2312" w:cs="Times New Roman"/>
          <w:sz w:val="32"/>
          <w:szCs w:val="32"/>
        </w:rPr>
        <w:t>分。绩效目标完成情况：一是</w:t>
      </w:r>
      <w:r>
        <w:rPr>
          <w:rFonts w:hint="eastAsia" w:ascii="Times New Roman" w:hAnsi="Times New Roman" w:eastAsia="仿宋_GB2312" w:cs="Times New Roman"/>
          <w:sz w:val="32"/>
          <w:szCs w:val="32"/>
        </w:rPr>
        <w:t>四个项目实现预算零追加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履职效能达成</w:t>
      </w:r>
      <w:r>
        <w:rPr>
          <w:rFonts w:hint="eastAsia" w:ascii="Times New Roman" w:hAnsi="Times New Roman" w:eastAsia="仿宋_GB2312" w:cs="Times New Roman"/>
          <w:sz w:val="32"/>
          <w:szCs w:val="32"/>
          <w:lang w:eastAsia="zh-CN"/>
        </w:rPr>
        <w:t>，实现</w:t>
      </w:r>
      <w:r>
        <w:rPr>
          <w:rFonts w:hint="eastAsia" w:ascii="Times New Roman" w:hAnsi="Times New Roman" w:eastAsia="仿宋_GB2312" w:cs="Times New Roman"/>
          <w:sz w:val="32"/>
          <w:szCs w:val="32"/>
        </w:rPr>
        <w:t>行业监管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财源建设提质增效</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三资”清查，处置盘活，国有资产保值增值</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规范国资审批流程</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社会效应显现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引导国企拓展经营业务，如莲城集团的河道采砂项目，国投公司的屠宰项目，公交公司的城乡客运降本增效，自来水公司的乡镇水厂收购项目，矿投公司的土地出租项目，文旅公司的“道县龙超”项目等</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rPr>
        <w:t>绩效机制尚需健全</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目标设定尚欠精细</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三是内控执行尚存短板</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四是预算编制尚显粗放。</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rPr>
        <w:t>规范账务处理，提升信息质量</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明确职责分工，强化项目管理</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三是梳理业务流程，健全绩效制度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四是优化评价体系，激发创新活力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五是深化内控管理，保障合规运行。</w:t>
      </w:r>
    </w:p>
    <w:p>
      <w:pPr>
        <w:pStyle w:val="14"/>
        <w:overflowPunct w:val="0"/>
        <w:autoSpaceDE/>
        <w:autoSpaceDN/>
        <w:spacing w:line="600" w:lineRule="exact"/>
        <w:ind w:firstLine="643"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按照要求将部门整体支出自评结果在交财政局统一进行公开，优化支出结构、完善相关办法、改进预算管理。强化结果应用，建立完善评价结果与预算调整、改进管理、完善政策挂钩机制。</w:t>
      </w: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cs="Times New Roman"/>
          <w:color w:val="000000"/>
          <w:kern w:val="0"/>
          <w:sz w:val="32"/>
          <w:szCs w:val="32"/>
        </w:rPr>
      </w:pPr>
      <w:r>
        <w:rPr>
          <w:rFonts w:ascii="Times New Roman" w:hAnsi="Times New Roman" w:eastAsia="方正小标宋_GBK" w:cs="Times New Roman"/>
          <w:sz w:val="52"/>
          <w:szCs w:val="52"/>
        </w:rPr>
        <w:t>第四部分    名词解释</w:t>
      </w:r>
    </w:p>
    <w:p>
      <w:pPr>
        <w:pStyle w:val="2"/>
      </w:pPr>
    </w:p>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pPr>
        <w:pStyle w:val="14"/>
        <w:keepNext w:val="0"/>
        <w:keepLines w:val="0"/>
        <w:pageBreakBefore w:val="0"/>
        <w:widowControl w:val="0"/>
        <w:kinsoku/>
        <w:wordWrap/>
        <w:overflowPunct/>
        <w:topLinePunct w:val="0"/>
        <w:bidi w:val="0"/>
        <w:snapToGrid/>
        <w:spacing w:line="240" w:lineRule="auto"/>
        <w:textAlignment w:val="auto"/>
        <w:rPr>
          <w:rFonts w:hint="eastAsia" w:ascii="仿宋_GB2312" w:hAnsi="仿宋_GB2312" w:eastAsia="仿宋_GB2312" w:cs="仿宋_GB2312"/>
          <w:color w:val="000000"/>
          <w:sz w:val="32"/>
          <w:szCs w:val="32"/>
          <w:shd w:val="clear" w:color="auto" w:fill="FFFFFF"/>
          <w:lang w:eastAsia="zh-CN"/>
        </w:rPr>
        <w:sectPr>
          <w:pgSz w:w="11906" w:h="16838"/>
          <w:pgMar w:top="2098" w:right="1587" w:bottom="1984" w:left="1587" w:header="851" w:footer="992" w:gutter="0"/>
          <w:cols w:space="720" w:num="1"/>
          <w:docGrid w:type="lines" w:linePitch="312" w:charSpace="0"/>
        </w:sect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w:t>
      </w:r>
      <w:r>
        <w:rPr>
          <w:rFonts w:hint="eastAsia" w:ascii="仿宋_GB2312" w:hAnsi="仿宋_GB2312" w:eastAsia="仿宋_GB2312" w:cs="仿宋_GB2312"/>
          <w:color w:val="000000"/>
          <w:sz w:val="32"/>
          <w:szCs w:val="32"/>
          <w:shd w:val="clear" w:color="auto" w:fill="FFFFFF"/>
          <w:lang w:eastAsia="zh-CN"/>
        </w:rPr>
        <w:t>等。</w:t>
      </w: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pStyle w:val="2"/>
        <w:ind w:left="0" w:leftChars="0" w:firstLine="0" w:firstLineChars="0"/>
        <w:rPr>
          <w:rFonts w:ascii="Times New Roman" w:hAnsi="Times New Roman" w:cs="Times New Roman"/>
          <w:sz w:val="72"/>
          <w:szCs w:val="72"/>
        </w:rPr>
      </w:pPr>
    </w:p>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bookmarkStart w:id="3" w:name="_GoBack"/>
      <w:bookmarkEnd w:id="3"/>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3E76EA7"/>
    <w:rsid w:val="2FDF85B8"/>
    <w:rsid w:val="2FFFEE04"/>
    <w:rsid w:val="34DF85B0"/>
    <w:rsid w:val="3AA813D6"/>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9EB175"/>
    <w:rsid w:val="79D19834"/>
    <w:rsid w:val="79FF515B"/>
    <w:rsid w:val="7BF549BF"/>
    <w:rsid w:val="7E9E1962"/>
    <w:rsid w:val="7E9F11B4"/>
    <w:rsid w:val="7F37EC1E"/>
    <w:rsid w:val="7F7DCD9D"/>
    <w:rsid w:val="7F970A6F"/>
    <w:rsid w:val="7FC1FFF3"/>
    <w:rsid w:val="7FC69637"/>
    <w:rsid w:val="7FDF8620"/>
    <w:rsid w:val="7FE8C8F7"/>
    <w:rsid w:val="7FFB0774"/>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4B6422"/>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27</Pages>
  <Words>6599</Words>
  <Characters>7524</Characters>
  <Lines>69</Lines>
  <Paragraphs>19</Paragraphs>
  <TotalTime>8</TotalTime>
  <ScaleCrop>false</ScaleCrop>
  <LinksUpToDate>false</LinksUpToDate>
  <CharactersWithSpaces>8843</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蒋琼</cp:lastModifiedBy>
  <cp:lastPrinted>2024-08-10T18:20:00Z</cp:lastPrinted>
  <dcterms:modified xsi:type="dcterms:W3CDTF">2026-09-16T00:25:46Z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B2F57AE50CD94CD5847BCE18C5D82DC4_13</vt:lpwstr>
  </property>
</Properties>
</file>