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jc w:val="center"/>
        <w:rPr>
          <w:rFonts w:ascii="Times New Roman" w:hAnsi="Times New Roman" w:cs="Times New Roman"/>
          <w:sz w:val="56"/>
          <w:szCs w:val="56"/>
        </w:rPr>
      </w:pPr>
    </w:p>
    <w:p>
      <w:pPr>
        <w:pStyle w:val="12"/>
        <w:jc w:val="center"/>
        <w:rPr>
          <w:rFonts w:ascii="Times New Roman" w:hAnsi="Times New Roman" w:cs="Times New Roman"/>
          <w:sz w:val="84"/>
          <w:szCs w:val="84"/>
        </w:rPr>
      </w:pPr>
    </w:p>
    <w:p>
      <w:pPr>
        <w:pStyle w:val="12"/>
        <w:jc w:val="center"/>
        <w:rPr>
          <w:rFonts w:ascii="Times New Roman" w:hAnsi="Times New Roman" w:cs="Times New Roman"/>
          <w:sz w:val="84"/>
          <w:szCs w:val="84"/>
        </w:rPr>
      </w:pPr>
    </w:p>
    <w:p>
      <w:pPr>
        <w:pStyle w:val="12"/>
        <w:jc w:val="center"/>
        <w:rPr>
          <w:rFonts w:hint="eastAsia"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r>
        <w:rPr>
          <w:rFonts w:hint="eastAsia" w:ascii="Times New Roman" w:hAnsi="Times New Roman" w:eastAsia="方正小标宋简体" w:cs="Times New Roman"/>
          <w:sz w:val="72"/>
          <w:szCs w:val="72"/>
        </w:rPr>
        <w:t>道县文学艺术界</w:t>
      </w:r>
    </w:p>
    <w:p>
      <w:pPr>
        <w:pStyle w:val="12"/>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联合会</w:t>
      </w:r>
      <w:r>
        <w:rPr>
          <w:rFonts w:ascii="Times New Roman" w:hAnsi="Times New Roman" w:eastAsia="方正小标宋简体" w:cs="Times New Roman"/>
          <w:sz w:val="72"/>
          <w:szCs w:val="72"/>
        </w:rPr>
        <w:t>部门决算</w:t>
      </w:r>
    </w:p>
    <w:p>
      <w:pPr>
        <w:pStyle w:val="12"/>
        <w:jc w:val="center"/>
        <w:rPr>
          <w:rFonts w:ascii="Times New Roman" w:hAnsi="Times New Roman" w:eastAsia="方正小标宋_GBK" w:cs="Times New Roman"/>
          <w:sz w:val="56"/>
          <w:szCs w:val="56"/>
        </w:rPr>
      </w:pPr>
    </w:p>
    <w:p>
      <w:pPr>
        <w:pStyle w:val="12"/>
        <w:jc w:val="center"/>
        <w:rPr>
          <w:rFonts w:ascii="Times New Roman" w:hAnsi="Times New Roman" w:cs="Times New Roman"/>
          <w:sz w:val="56"/>
          <w:szCs w:val="56"/>
        </w:rPr>
      </w:pPr>
    </w:p>
    <w:p>
      <w:pPr>
        <w:pStyle w:val="12"/>
        <w:rPr>
          <w:rFonts w:ascii="Times New Roman" w:hAnsi="Times New Roman" w:cs="Times New Roman"/>
          <w:sz w:val="56"/>
          <w:szCs w:val="56"/>
        </w:rPr>
      </w:pPr>
    </w:p>
    <w:p>
      <w:pPr>
        <w:pStyle w:val="12"/>
        <w:jc w:val="center"/>
        <w:rPr>
          <w:rFonts w:ascii="Times New Roman" w:hAnsi="Times New Roman" w:cs="Times New Roman"/>
          <w:sz w:val="32"/>
          <w:szCs w:val="32"/>
        </w:rPr>
      </w:pPr>
    </w:p>
    <w:p>
      <w:pPr>
        <w:pStyle w:val="12"/>
        <w:jc w:val="center"/>
        <w:rPr>
          <w:rFonts w:ascii="Times New Roman" w:hAnsi="Times New Roman" w:cs="Times New Roman"/>
          <w:sz w:val="32"/>
          <w:szCs w:val="32"/>
        </w:rPr>
      </w:pPr>
    </w:p>
    <w:p>
      <w:pPr>
        <w:pStyle w:val="12"/>
        <w:jc w:val="center"/>
        <w:rPr>
          <w:rFonts w:ascii="Times New Roman" w:hAnsi="Times New Roman" w:cs="Times New Roman"/>
          <w:sz w:val="32"/>
          <w:szCs w:val="32"/>
        </w:rPr>
      </w:pPr>
    </w:p>
    <w:p>
      <w:pPr>
        <w:pStyle w:val="12"/>
        <w:jc w:val="center"/>
        <w:rPr>
          <w:rFonts w:ascii="Times New Roman" w:hAnsi="Times New Roman" w:cs="Times New Roman"/>
          <w:sz w:val="32"/>
          <w:szCs w:val="32"/>
        </w:rPr>
      </w:pPr>
    </w:p>
    <w:p>
      <w:pPr>
        <w:pStyle w:val="12"/>
        <w:jc w:val="center"/>
        <w:rPr>
          <w:rFonts w:ascii="Times New Roman" w:hAnsi="Times New Roman" w:cs="Times New Roman"/>
          <w:sz w:val="32"/>
          <w:szCs w:val="32"/>
        </w:rPr>
      </w:pPr>
    </w:p>
    <w:p>
      <w:pPr>
        <w:pStyle w:val="12"/>
        <w:jc w:val="center"/>
        <w:rPr>
          <w:rFonts w:ascii="Times New Roman" w:hAnsi="Times New Roman" w:cs="Times New Roman"/>
          <w:sz w:val="32"/>
          <w:szCs w:val="32"/>
        </w:rPr>
      </w:pPr>
    </w:p>
    <w:p>
      <w:pPr>
        <w:pStyle w:val="12"/>
        <w:spacing w:line="540" w:lineRule="exact"/>
        <w:jc w:val="center"/>
        <w:rPr>
          <w:rFonts w:ascii="Times New Roman" w:hAnsi="Times New Roman" w:cs="Times New Roman"/>
          <w:sz w:val="56"/>
          <w:szCs w:val="56"/>
        </w:rPr>
      </w:pPr>
    </w:p>
    <w:p>
      <w:pPr>
        <w:pStyle w:val="12"/>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pPr>
        <w:pStyle w:val="12"/>
        <w:spacing w:line="600" w:lineRule="exact"/>
        <w:jc w:val="center"/>
        <w:rPr>
          <w:rFonts w:ascii="Times New Roman" w:hAnsi="Times New Roman" w:cs="Times New Roman"/>
          <w:b/>
          <w:sz w:val="36"/>
          <w:szCs w:val="28"/>
        </w:rPr>
      </w:pPr>
      <w:r>
        <w:rPr>
          <w:rFonts w:ascii="Times New Roman" w:hAnsi="Times New Roman" w:cs="Times New Roman"/>
          <w:bCs/>
          <w:sz w:val="36"/>
          <w:szCs w:val="28"/>
        </w:rPr>
        <w:t>目  录</w:t>
      </w:r>
    </w:p>
    <w:p>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第一部分</w:t>
      </w:r>
      <w:r>
        <w:rPr>
          <w:rFonts w:hint="eastAsia" w:ascii="Times New Roman" w:hAnsi="Times New Roman" w:cs="Times New Roman"/>
          <w:bCs/>
          <w:sz w:val="32"/>
          <w:szCs w:val="32"/>
          <w:lang w:val="en-US" w:eastAsia="zh-CN"/>
        </w:rPr>
        <w:t xml:space="preserve"> </w:t>
      </w:r>
      <w:r>
        <w:rPr>
          <w:rFonts w:hint="eastAsia" w:ascii="Times New Roman" w:hAnsi="Times New Roman" w:cs="Times New Roman"/>
          <w:bCs/>
          <w:sz w:val="32"/>
          <w:szCs w:val="32"/>
        </w:rPr>
        <w:t>道县文学艺术界联合会</w:t>
      </w:r>
      <w:r>
        <w:rPr>
          <w:rFonts w:ascii="Times New Roman" w:hAnsi="Times New Roman" w:cs="Times New Roman"/>
          <w:bCs/>
          <w:sz w:val="32"/>
          <w:szCs w:val="32"/>
        </w:rPr>
        <w:t>单位概况</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7"/>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道县文学艺术界联合会</w:t>
      </w:r>
      <w:r>
        <w:rPr>
          <w:rFonts w:ascii="Times New Roman" w:hAnsi="Times New Roman" w:eastAsia="方正小标宋_GBK" w:cs="Times New Roman"/>
          <w:sz w:val="52"/>
          <w:szCs w:val="52"/>
        </w:rPr>
        <w:t>单位概况</w:t>
      </w:r>
    </w:p>
    <w:p>
      <w:pPr>
        <w:pStyle w:val="3"/>
        <w:ind w:left="0" w:leftChars="0" w:firstLine="0" w:firstLineChars="0"/>
        <w:rPr>
          <w:rFonts w:ascii="Times New Roman" w:hAnsi="Times New Roman" w:cs="Times New Roman"/>
        </w:rPr>
      </w:pPr>
    </w:p>
    <w:p>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一、部门职责</w:t>
      </w:r>
    </w:p>
    <w:p>
      <w:pPr>
        <w:widowControl/>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道县文学艺术界联合会的主要职责是：</w:t>
      </w:r>
    </w:p>
    <w:p>
      <w:pPr>
        <w:widowControl/>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加强党对文艺工作的领导，加强全县文艺队伍思想政治建设。制定出 台道县文艺工作者采风创作制度，组织文艺工作者开展主题文艺实践活动。</w:t>
      </w:r>
    </w:p>
    <w:p>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widowControl/>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（一）内设机构设置。道县文学艺术界联合会内设机构包括：办公室、组织联络室、权益保护与行业建设室。现有工作人员 6 人。</w:t>
      </w:r>
    </w:p>
    <w:p>
      <w:pPr>
        <w:widowControl/>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（二）决算单位构成道县文学艺术界联合会202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年部门决算汇总公开单位构成包括：道县文学艺术界联合会本级。</w:t>
      </w:r>
    </w:p>
    <w:p>
      <w:pPr>
        <w:jc w:val="left"/>
        <w:rPr>
          <w:rFonts w:ascii="Times New Roman" w:hAnsi="Times New Roman" w:eastAsia="仿宋_GB2312" w:cs="Times New Roman"/>
          <w:sz w:val="28"/>
          <w:szCs w:val="32"/>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pStyle w:val="7"/>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道县文学艺术界联合会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8"/>
        <w:tblW w:w="14896" w:type="dxa"/>
        <w:jc w:val="center"/>
        <w:tblLayout w:type="autofit"/>
        <w:tblCellMar>
          <w:top w:w="0" w:type="dxa"/>
          <w:left w:w="108" w:type="dxa"/>
          <w:bottom w:w="0" w:type="dxa"/>
          <w:right w:w="108" w:type="dxa"/>
        </w:tblCellMar>
      </w:tblPr>
      <w:tblGrid>
        <w:gridCol w:w="5596"/>
        <w:gridCol w:w="826"/>
        <w:gridCol w:w="1254"/>
        <w:gridCol w:w="4851"/>
        <w:gridCol w:w="826"/>
        <w:gridCol w:w="1543"/>
      </w:tblGrid>
      <w:tr>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77.10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29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29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color w:val="000000"/>
                <w:kern w:val="0"/>
                <w:sz w:val="22"/>
                <w:lang w:bidi="ar"/>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68.90</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color w:val="000000"/>
                <w:kern w:val="0"/>
                <w:sz w:val="22"/>
                <w:lang w:bidi="ar"/>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5.40</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color w:val="000000"/>
                <w:kern w:val="0"/>
                <w:sz w:val="22"/>
                <w:lang w:bidi="ar"/>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2.80</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firstLine="440" w:firstLineChars="200"/>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77.10</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 xml:space="preserve">    77.10</w:t>
            </w:r>
          </w:p>
        </w:tc>
      </w:tr>
    </w:tbl>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kern w:val="0"/>
          <w:sz w:val="20"/>
          <w:szCs w:val="20"/>
          <w:lang w:bidi="ar"/>
        </w:rPr>
        <w:t>道县文学艺术界联合会</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8"/>
        <w:tblW w:w="14666" w:type="dxa"/>
        <w:jc w:val="center"/>
        <w:tblLayout w:type="fixed"/>
        <w:tblCellMar>
          <w:top w:w="0" w:type="dxa"/>
          <w:left w:w="0" w:type="dxa"/>
          <w:bottom w:w="0" w:type="dxa"/>
          <w:right w:w="0" w:type="dxa"/>
        </w:tblCellMar>
      </w:tblPr>
      <w:tblGrid>
        <w:gridCol w:w="928"/>
        <w:gridCol w:w="2580"/>
        <w:gridCol w:w="1318"/>
        <w:gridCol w:w="1640"/>
        <w:gridCol w:w="1640"/>
        <w:gridCol w:w="1640"/>
        <w:gridCol w:w="1640"/>
        <w:gridCol w:w="1897"/>
        <w:gridCol w:w="1383"/>
      </w:tblGrid>
      <w:tr>
        <w:tblPrEx>
          <w:tblCellMar>
            <w:top w:w="0" w:type="dxa"/>
            <w:left w:w="0" w:type="dxa"/>
            <w:bottom w:w="0" w:type="dxa"/>
            <w:right w:w="0" w:type="dxa"/>
          </w:tblCellMar>
        </w:tblPrEx>
        <w:trPr>
          <w:trHeight w:val="450" w:hRule="atLeast"/>
          <w:jc w:val="center"/>
        </w:trPr>
        <w:tc>
          <w:tcPr>
            <w:tcW w:w="3508"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31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tblPrEx>
          <w:tblCellMar>
            <w:top w:w="0" w:type="dxa"/>
            <w:left w:w="0" w:type="dxa"/>
            <w:bottom w:w="0" w:type="dxa"/>
            <w:right w:w="0" w:type="dxa"/>
          </w:tblCellMar>
        </w:tblPrEx>
        <w:trPr>
          <w:trHeight w:val="334" w:hRule="exact"/>
          <w:jc w:val="center"/>
        </w:trPr>
        <w:tc>
          <w:tcPr>
            <w:tcW w:w="92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258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318"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12" w:hRule="atLeast"/>
          <w:jc w:val="center"/>
        </w:trPr>
        <w:tc>
          <w:tcPr>
            <w:tcW w:w="928"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2580"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18"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350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31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tblPrEx>
          <w:tblCellMar>
            <w:top w:w="0" w:type="dxa"/>
            <w:left w:w="0" w:type="dxa"/>
            <w:bottom w:w="0" w:type="dxa"/>
            <w:right w:w="0" w:type="dxa"/>
          </w:tblCellMar>
        </w:tblPrEx>
        <w:trPr>
          <w:trHeight w:val="450" w:hRule="atLeast"/>
          <w:jc w:val="center"/>
        </w:trPr>
        <w:tc>
          <w:tcPr>
            <w:tcW w:w="350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3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92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207</w:t>
            </w:r>
          </w:p>
        </w:tc>
        <w:tc>
          <w:tcPr>
            <w:tcW w:w="258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文化旅游体育与传媒支出</w:t>
            </w:r>
          </w:p>
        </w:tc>
        <w:tc>
          <w:tcPr>
            <w:tcW w:w="13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68.90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68.90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92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20701</w:t>
            </w:r>
          </w:p>
        </w:tc>
        <w:tc>
          <w:tcPr>
            <w:tcW w:w="258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文化和旅游</w:t>
            </w:r>
          </w:p>
        </w:tc>
        <w:tc>
          <w:tcPr>
            <w:tcW w:w="13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68.90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68.90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92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2070199</w:t>
            </w:r>
          </w:p>
        </w:tc>
        <w:tc>
          <w:tcPr>
            <w:tcW w:w="258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其他文化和旅游支出</w:t>
            </w:r>
          </w:p>
        </w:tc>
        <w:tc>
          <w:tcPr>
            <w:tcW w:w="13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68.90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68.90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92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208</w:t>
            </w:r>
          </w:p>
        </w:tc>
        <w:tc>
          <w:tcPr>
            <w:tcW w:w="258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社会保障和就业支出</w:t>
            </w:r>
          </w:p>
        </w:tc>
        <w:tc>
          <w:tcPr>
            <w:tcW w:w="13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5.40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5.40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92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20805</w:t>
            </w:r>
          </w:p>
        </w:tc>
        <w:tc>
          <w:tcPr>
            <w:tcW w:w="258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行政事业单位基本养老保险支出</w:t>
            </w:r>
          </w:p>
        </w:tc>
        <w:tc>
          <w:tcPr>
            <w:tcW w:w="131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5.40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5.40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92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2080505</w:t>
            </w:r>
          </w:p>
        </w:tc>
        <w:tc>
          <w:tcPr>
            <w:tcW w:w="258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行政事业单位基本养老保险缴费支出</w:t>
            </w:r>
          </w:p>
        </w:tc>
        <w:tc>
          <w:tcPr>
            <w:tcW w:w="131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5.40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5.40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92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w:t>
            </w:r>
          </w:p>
        </w:tc>
        <w:tc>
          <w:tcPr>
            <w:tcW w:w="258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卫生健康支出</w:t>
            </w:r>
          </w:p>
        </w:tc>
        <w:tc>
          <w:tcPr>
            <w:tcW w:w="131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2.80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2.80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92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21011</w:t>
            </w:r>
          </w:p>
        </w:tc>
        <w:tc>
          <w:tcPr>
            <w:tcW w:w="258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行政事业单位医疗</w:t>
            </w:r>
          </w:p>
        </w:tc>
        <w:tc>
          <w:tcPr>
            <w:tcW w:w="131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2.80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2.80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92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2101101</w:t>
            </w:r>
          </w:p>
        </w:tc>
        <w:tc>
          <w:tcPr>
            <w:tcW w:w="258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rPr>
            </w:pPr>
            <w:r>
              <w:rPr>
                <w:rFonts w:hint="eastAsia" w:ascii="Times New Roman" w:hAnsi="Times New Roman" w:eastAsia="仿宋_GB2312" w:cs="Times New Roman"/>
                <w:lang w:val="en-US" w:eastAsia="zh-CN"/>
              </w:rPr>
              <w:t>行政单位医疗</w:t>
            </w:r>
          </w:p>
        </w:tc>
        <w:tc>
          <w:tcPr>
            <w:tcW w:w="131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2.80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2.80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bl>
    <w:p>
      <w:pPr>
        <w:spacing w:before="120"/>
        <w:jc w:val="left"/>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pPr>
        <w:widowControl/>
        <w:jc w:val="left"/>
        <w:rPr>
          <w:rFonts w:ascii="Times New Roman" w:hAnsi="Times New Roman" w:eastAsia="黑体" w:cs="Times New Roman"/>
          <w:color w:val="000000"/>
          <w:kern w:val="0"/>
          <w:sz w:val="32"/>
          <w:szCs w:val="32"/>
          <w:lang w:bidi="ar"/>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bidi="ar"/>
        </w:rPr>
        <w:t>道县文学艺术界联合会</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8"/>
        <w:tblW w:w="4996" w:type="pct"/>
        <w:jc w:val="center"/>
        <w:tblLayout w:type="autofit"/>
        <w:tblCellMar>
          <w:top w:w="0" w:type="dxa"/>
          <w:left w:w="108" w:type="dxa"/>
          <w:bottom w:w="0" w:type="dxa"/>
          <w:right w:w="108" w:type="dxa"/>
        </w:tblCellMar>
      </w:tblPr>
      <w:tblGrid>
        <w:gridCol w:w="2101"/>
        <w:gridCol w:w="3585"/>
        <w:gridCol w:w="1555"/>
        <w:gridCol w:w="1012"/>
        <w:gridCol w:w="1012"/>
        <w:gridCol w:w="1555"/>
        <w:gridCol w:w="1012"/>
        <w:gridCol w:w="2377"/>
      </w:tblGrid>
      <w:tr>
        <w:tblPrEx>
          <w:tblCellMar>
            <w:top w:w="0" w:type="dxa"/>
            <w:left w:w="108" w:type="dxa"/>
            <w:bottom w:w="0" w:type="dxa"/>
            <w:right w:w="108" w:type="dxa"/>
          </w:tblCellMar>
        </w:tblPrEx>
        <w:trPr>
          <w:trHeight w:val="595" w:hRule="atLeast"/>
          <w:jc w:val="center"/>
        </w:trPr>
        <w:tc>
          <w:tcPr>
            <w:tcW w:w="2000"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547"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35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35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547"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35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83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tblPrEx>
          <w:tblCellMar>
            <w:top w:w="0" w:type="dxa"/>
            <w:left w:w="108" w:type="dxa"/>
            <w:bottom w:w="0" w:type="dxa"/>
            <w:right w:w="108" w:type="dxa"/>
          </w:tblCellMar>
        </w:tblPrEx>
        <w:trPr>
          <w:trHeight w:val="312" w:hRule="exact"/>
          <w:jc w:val="center"/>
        </w:trPr>
        <w:tc>
          <w:tcPr>
            <w:tcW w:w="73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260" w:type="pct"/>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547"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35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35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547"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35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83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r>
      <w:tr>
        <w:tblPrEx>
          <w:tblCellMar>
            <w:top w:w="0" w:type="dxa"/>
            <w:left w:w="108" w:type="dxa"/>
            <w:bottom w:w="0" w:type="dxa"/>
            <w:right w:w="108" w:type="dxa"/>
          </w:tblCellMar>
        </w:tblPrEx>
        <w:trPr>
          <w:trHeight w:val="490" w:hRule="atLeast"/>
          <w:jc w:val="center"/>
        </w:trPr>
        <w:tc>
          <w:tcPr>
            <w:tcW w:w="73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260"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547"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35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35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547"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35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83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2000"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547"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356"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356"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547"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356"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836"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tblPrEx>
          <w:tblCellMar>
            <w:top w:w="0" w:type="dxa"/>
            <w:left w:w="108" w:type="dxa"/>
            <w:bottom w:w="0" w:type="dxa"/>
            <w:right w:w="108" w:type="dxa"/>
          </w:tblCellMar>
        </w:tblPrEx>
        <w:trPr>
          <w:trHeight w:val="595" w:hRule="atLeast"/>
          <w:jc w:val="center"/>
        </w:trPr>
        <w:tc>
          <w:tcPr>
            <w:tcW w:w="2000"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547" w:type="pct"/>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77.10</w:t>
            </w:r>
            <w:r>
              <w:rPr>
                <w:rFonts w:ascii="Times New Roman" w:hAnsi="Times New Roman" w:eastAsia="仿宋_GB2312" w:cs="Times New Roman"/>
                <w:kern w:val="0"/>
                <w:sz w:val="24"/>
                <w:szCs w:val="24"/>
              </w:rPr>
              <w:t>　</w:t>
            </w:r>
          </w:p>
        </w:tc>
        <w:tc>
          <w:tcPr>
            <w:tcW w:w="101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60.85</w:t>
            </w:r>
          </w:p>
        </w:tc>
        <w:tc>
          <w:tcPr>
            <w:tcW w:w="101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8.05</w:t>
            </w:r>
          </w:p>
        </w:tc>
        <w:tc>
          <w:tcPr>
            <w:tcW w:w="54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05"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207</w:t>
            </w:r>
          </w:p>
        </w:tc>
        <w:tc>
          <w:tcPr>
            <w:tcW w:w="1260" w:type="pct"/>
            <w:tcBorders>
              <w:top w:val="nil"/>
              <w:left w:val="nil"/>
              <w:bottom w:val="single" w:color="auto" w:sz="4" w:space="0"/>
              <w:right w:val="single" w:color="auto" w:sz="4" w:space="0"/>
            </w:tcBorders>
            <w:shd w:val="clear" w:color="000000" w:fill="FFFFFF"/>
            <w:noWrap/>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文化旅游体育与传媒支出</w:t>
            </w:r>
          </w:p>
        </w:tc>
        <w:tc>
          <w:tcPr>
            <w:tcW w:w="547" w:type="pct"/>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68.90</w:t>
            </w:r>
          </w:p>
        </w:tc>
        <w:tc>
          <w:tcPr>
            <w:tcW w:w="356" w:type="pct"/>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60.85</w:t>
            </w:r>
          </w:p>
        </w:tc>
        <w:tc>
          <w:tcPr>
            <w:tcW w:w="356" w:type="pct"/>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8.05</w:t>
            </w:r>
          </w:p>
        </w:tc>
        <w:tc>
          <w:tcPr>
            <w:tcW w:w="54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20701</w:t>
            </w:r>
          </w:p>
        </w:tc>
        <w:tc>
          <w:tcPr>
            <w:tcW w:w="1260" w:type="pct"/>
            <w:tcBorders>
              <w:top w:val="nil"/>
              <w:left w:val="nil"/>
              <w:bottom w:val="single" w:color="auto" w:sz="4" w:space="0"/>
              <w:right w:val="single" w:color="auto" w:sz="4" w:space="0"/>
            </w:tcBorders>
            <w:shd w:val="clear" w:color="000000" w:fill="FFFFFF"/>
            <w:noWrap/>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文化和旅游</w:t>
            </w:r>
          </w:p>
        </w:tc>
        <w:tc>
          <w:tcPr>
            <w:tcW w:w="547" w:type="pct"/>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68.90</w:t>
            </w:r>
          </w:p>
        </w:tc>
        <w:tc>
          <w:tcPr>
            <w:tcW w:w="356" w:type="pct"/>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60.85</w:t>
            </w:r>
          </w:p>
        </w:tc>
        <w:tc>
          <w:tcPr>
            <w:tcW w:w="356" w:type="pct"/>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8.05</w:t>
            </w:r>
          </w:p>
        </w:tc>
        <w:tc>
          <w:tcPr>
            <w:tcW w:w="54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2070199</w:t>
            </w:r>
          </w:p>
        </w:tc>
        <w:tc>
          <w:tcPr>
            <w:tcW w:w="1260" w:type="pct"/>
            <w:tcBorders>
              <w:top w:val="nil"/>
              <w:left w:val="nil"/>
              <w:bottom w:val="single" w:color="auto" w:sz="4" w:space="0"/>
              <w:right w:val="single" w:color="auto" w:sz="4" w:space="0"/>
            </w:tcBorders>
            <w:shd w:val="clear" w:color="000000" w:fill="FFFFFF"/>
            <w:noWrap/>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其他文化和旅游支出</w:t>
            </w:r>
          </w:p>
        </w:tc>
        <w:tc>
          <w:tcPr>
            <w:tcW w:w="547" w:type="pct"/>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68.90</w:t>
            </w:r>
          </w:p>
        </w:tc>
        <w:tc>
          <w:tcPr>
            <w:tcW w:w="356" w:type="pct"/>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60.85</w:t>
            </w:r>
          </w:p>
        </w:tc>
        <w:tc>
          <w:tcPr>
            <w:tcW w:w="356" w:type="pct"/>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8.05</w:t>
            </w:r>
          </w:p>
        </w:tc>
        <w:tc>
          <w:tcPr>
            <w:tcW w:w="54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460"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lef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208</w:t>
            </w:r>
          </w:p>
        </w:tc>
        <w:tc>
          <w:tcPr>
            <w:tcW w:w="1260" w:type="pct"/>
            <w:tcBorders>
              <w:top w:val="nil"/>
              <w:left w:val="nil"/>
              <w:bottom w:val="single" w:color="auto" w:sz="4" w:space="0"/>
              <w:right w:val="single" w:color="auto" w:sz="4" w:space="0"/>
            </w:tcBorders>
            <w:shd w:val="clear" w:color="000000" w:fill="FFFFFF"/>
            <w:noWrap/>
            <w:vAlign w:val="center"/>
          </w:tcPr>
          <w:p>
            <w:pP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社会保障和就业支出</w:t>
            </w:r>
          </w:p>
        </w:tc>
        <w:tc>
          <w:tcPr>
            <w:tcW w:w="547" w:type="pct"/>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5.40</w:t>
            </w:r>
          </w:p>
        </w:tc>
        <w:tc>
          <w:tcPr>
            <w:tcW w:w="356" w:type="pct"/>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5.40</w:t>
            </w:r>
          </w:p>
        </w:tc>
        <w:tc>
          <w:tcPr>
            <w:tcW w:w="356" w:type="pct"/>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kern w:val="0"/>
                <w:sz w:val="24"/>
                <w:szCs w:val="24"/>
                <w:lang w:val="en-US" w:eastAsia="zh-CN"/>
              </w:rPr>
            </w:pPr>
          </w:p>
        </w:tc>
        <w:tc>
          <w:tcPr>
            <w:tcW w:w="54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05"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lef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20805</w:t>
            </w:r>
          </w:p>
        </w:tc>
        <w:tc>
          <w:tcPr>
            <w:tcW w:w="1260" w:type="pct"/>
            <w:tcBorders>
              <w:top w:val="nil"/>
              <w:left w:val="nil"/>
              <w:bottom w:val="single" w:color="auto" w:sz="4" w:space="0"/>
              <w:right w:val="single" w:color="auto" w:sz="4" w:space="0"/>
            </w:tcBorders>
            <w:shd w:val="clear" w:color="000000" w:fill="FFFFFF"/>
            <w:noWrap/>
            <w:vAlign w:val="center"/>
          </w:tcPr>
          <w:p>
            <w:pP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行政事业单位基本养老保险支出</w:t>
            </w:r>
          </w:p>
        </w:tc>
        <w:tc>
          <w:tcPr>
            <w:tcW w:w="547" w:type="pct"/>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5.40</w:t>
            </w:r>
          </w:p>
        </w:tc>
        <w:tc>
          <w:tcPr>
            <w:tcW w:w="356" w:type="pct"/>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5.40</w:t>
            </w:r>
          </w:p>
        </w:tc>
        <w:tc>
          <w:tcPr>
            <w:tcW w:w="356" w:type="pct"/>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kern w:val="0"/>
                <w:sz w:val="24"/>
                <w:szCs w:val="24"/>
                <w:lang w:val="en-US" w:eastAsia="zh-CN"/>
              </w:rPr>
            </w:pPr>
          </w:p>
        </w:tc>
        <w:tc>
          <w:tcPr>
            <w:tcW w:w="54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05"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lef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2080505</w:t>
            </w:r>
          </w:p>
        </w:tc>
        <w:tc>
          <w:tcPr>
            <w:tcW w:w="126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行政事业单位基本养老保险缴费支出</w:t>
            </w:r>
          </w:p>
        </w:tc>
        <w:tc>
          <w:tcPr>
            <w:tcW w:w="54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5.40</w:t>
            </w:r>
          </w:p>
        </w:tc>
        <w:tc>
          <w:tcPr>
            <w:tcW w:w="35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5.40</w:t>
            </w:r>
          </w:p>
        </w:tc>
        <w:tc>
          <w:tcPr>
            <w:tcW w:w="35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kern w:val="0"/>
                <w:sz w:val="24"/>
                <w:szCs w:val="24"/>
                <w:lang w:val="en-US" w:eastAsia="zh-CN"/>
              </w:rPr>
            </w:pPr>
          </w:p>
        </w:tc>
        <w:tc>
          <w:tcPr>
            <w:tcW w:w="54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pPr>
              <w:jc w:val="lef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210</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卫生健康支出</w:t>
            </w:r>
          </w:p>
        </w:tc>
        <w:tc>
          <w:tcPr>
            <w:tcW w:w="0" w:type="auto"/>
            <w:tcBorders>
              <w:top w:val="single" w:color="auto" w:sz="4" w:space="0"/>
              <w:left w:val="single" w:color="auto" w:sz="4" w:space="0"/>
              <w:bottom w:val="single" w:color="auto" w:sz="4" w:space="0"/>
              <w:right w:val="single" w:color="auto" w:sz="4" w:space="0"/>
            </w:tcBorders>
          </w:tcPr>
          <w:p>
            <w:pPr>
              <w:widowControl/>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2.80</w:t>
            </w:r>
          </w:p>
        </w:tc>
        <w:tc>
          <w:tcPr>
            <w:tcW w:w="356" w:type="pct"/>
            <w:tcBorders>
              <w:top w:val="single" w:color="auto" w:sz="4" w:space="0"/>
              <w:left w:val="single" w:color="auto" w:sz="4" w:space="0"/>
              <w:bottom w:val="single" w:color="auto" w:sz="4" w:space="0"/>
              <w:right w:val="single" w:color="auto" w:sz="4" w:space="0"/>
            </w:tcBorders>
          </w:tcPr>
          <w:p>
            <w:pPr>
              <w:widowControl/>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2.80</w:t>
            </w:r>
          </w:p>
        </w:tc>
        <w:tc>
          <w:tcPr>
            <w:tcW w:w="356" w:type="pct"/>
            <w:tcBorders>
              <w:top w:val="single" w:color="auto" w:sz="4" w:space="0"/>
              <w:left w:val="single" w:color="auto" w:sz="4" w:space="0"/>
              <w:bottom w:val="single" w:color="auto" w:sz="4" w:space="0"/>
              <w:right w:val="single" w:color="auto" w:sz="4" w:space="0"/>
            </w:tcBorders>
          </w:tcPr>
          <w:p>
            <w:pPr>
              <w:widowControl/>
              <w:jc w:val="left"/>
              <w:rPr>
                <w:rFonts w:hint="eastAsia" w:ascii="Times New Roman" w:hAnsi="Times New Roman" w:eastAsia="仿宋_GB2312" w:cs="Times New Roman"/>
                <w:kern w:val="0"/>
                <w:sz w:val="24"/>
                <w:szCs w:val="24"/>
                <w:lang w:val="en-US" w:eastAsia="zh-CN"/>
              </w:rPr>
            </w:pPr>
          </w:p>
        </w:tc>
        <w:tc>
          <w:tcPr>
            <w:tcW w:w="547" w:type="pct"/>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pPr>
              <w:jc w:val="lef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21011</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行政事业单位医疗</w:t>
            </w:r>
          </w:p>
        </w:tc>
        <w:tc>
          <w:tcPr>
            <w:tcW w:w="0" w:type="auto"/>
            <w:tcBorders>
              <w:top w:val="single" w:color="auto" w:sz="4" w:space="0"/>
              <w:left w:val="single" w:color="auto" w:sz="4" w:space="0"/>
              <w:bottom w:val="single" w:color="auto" w:sz="4" w:space="0"/>
              <w:right w:val="single" w:color="auto" w:sz="4" w:space="0"/>
            </w:tcBorders>
          </w:tcPr>
          <w:p>
            <w:pPr>
              <w:widowControl/>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2.80</w:t>
            </w:r>
          </w:p>
        </w:tc>
        <w:tc>
          <w:tcPr>
            <w:tcW w:w="356" w:type="pct"/>
            <w:tcBorders>
              <w:top w:val="single" w:color="auto" w:sz="4" w:space="0"/>
              <w:left w:val="single" w:color="auto" w:sz="4" w:space="0"/>
              <w:bottom w:val="single" w:color="auto" w:sz="4" w:space="0"/>
              <w:right w:val="single" w:color="auto" w:sz="4" w:space="0"/>
            </w:tcBorders>
          </w:tcPr>
          <w:p>
            <w:pPr>
              <w:widowControl/>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2.80</w:t>
            </w:r>
          </w:p>
        </w:tc>
        <w:tc>
          <w:tcPr>
            <w:tcW w:w="356" w:type="pct"/>
            <w:tcBorders>
              <w:top w:val="single" w:color="auto" w:sz="4" w:space="0"/>
              <w:left w:val="single" w:color="auto" w:sz="4" w:space="0"/>
              <w:bottom w:val="single" w:color="auto" w:sz="4" w:space="0"/>
              <w:right w:val="single" w:color="auto" w:sz="4" w:space="0"/>
            </w:tcBorders>
          </w:tcPr>
          <w:p>
            <w:pPr>
              <w:widowControl/>
              <w:jc w:val="left"/>
              <w:rPr>
                <w:rFonts w:hint="eastAsia" w:ascii="Times New Roman" w:hAnsi="Times New Roman" w:eastAsia="仿宋_GB2312" w:cs="Times New Roman"/>
                <w:kern w:val="0"/>
                <w:sz w:val="24"/>
                <w:szCs w:val="24"/>
                <w:lang w:val="en-US" w:eastAsia="zh-CN"/>
              </w:rPr>
            </w:pPr>
          </w:p>
        </w:tc>
        <w:tc>
          <w:tcPr>
            <w:tcW w:w="547" w:type="pct"/>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pPr>
              <w:jc w:val="lef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2101101</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行政单位医疗</w:t>
            </w:r>
          </w:p>
        </w:tc>
        <w:tc>
          <w:tcPr>
            <w:tcW w:w="0" w:type="auto"/>
            <w:tcBorders>
              <w:top w:val="single" w:color="auto" w:sz="4" w:space="0"/>
              <w:left w:val="single" w:color="auto" w:sz="4" w:space="0"/>
              <w:bottom w:val="single" w:color="auto" w:sz="4" w:space="0"/>
              <w:right w:val="single" w:color="auto" w:sz="4" w:space="0"/>
            </w:tcBorders>
          </w:tcPr>
          <w:p>
            <w:pPr>
              <w:widowControl/>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2.80</w:t>
            </w:r>
          </w:p>
        </w:tc>
        <w:tc>
          <w:tcPr>
            <w:tcW w:w="356" w:type="pct"/>
            <w:tcBorders>
              <w:top w:val="single" w:color="auto" w:sz="4" w:space="0"/>
              <w:left w:val="single" w:color="auto" w:sz="4" w:space="0"/>
              <w:bottom w:val="single" w:color="auto" w:sz="4" w:space="0"/>
              <w:right w:val="single" w:color="auto" w:sz="4" w:space="0"/>
            </w:tcBorders>
          </w:tcPr>
          <w:p>
            <w:pPr>
              <w:widowControl/>
              <w:jc w:val="lef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2.80</w:t>
            </w:r>
          </w:p>
        </w:tc>
        <w:tc>
          <w:tcPr>
            <w:tcW w:w="356" w:type="pct"/>
            <w:tcBorders>
              <w:top w:val="single" w:color="auto" w:sz="4" w:space="0"/>
              <w:left w:val="single" w:color="auto" w:sz="4" w:space="0"/>
              <w:bottom w:val="single" w:color="auto" w:sz="4" w:space="0"/>
              <w:right w:val="single" w:color="auto" w:sz="4" w:space="0"/>
            </w:tcBorders>
          </w:tcPr>
          <w:p>
            <w:pPr>
              <w:widowControl/>
              <w:jc w:val="left"/>
              <w:rPr>
                <w:rFonts w:hint="eastAsia" w:ascii="Times New Roman" w:hAnsi="Times New Roman" w:eastAsia="仿宋_GB2312" w:cs="Times New Roman"/>
                <w:kern w:val="0"/>
                <w:sz w:val="24"/>
                <w:szCs w:val="24"/>
                <w:lang w:val="en-US" w:eastAsia="zh-CN"/>
              </w:rPr>
            </w:pPr>
          </w:p>
        </w:tc>
        <w:tc>
          <w:tcPr>
            <w:tcW w:w="547" w:type="pct"/>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r>
    </w:tbl>
    <w:p>
      <w:pPr>
        <w:widowControl/>
        <w:spacing w:before="120"/>
        <w:jc w:val="left"/>
        <w:rPr>
          <w:rFonts w:ascii="Times New Roman" w:hAnsi="Times New Roman" w:eastAsia="宋体" w:cs="Times New Roman"/>
          <w:kern w:val="0"/>
          <w:sz w:val="24"/>
          <w:szCs w:val="24"/>
        </w:rPr>
      </w:pPr>
      <w:r>
        <w:rPr>
          <w:rFonts w:ascii="Times New Roman" w:hAnsi="Times New Roman" w:eastAsia="仿宋_GB2312" w:cs="Times New Roman"/>
          <w:kern w:val="0"/>
          <w:sz w:val="24"/>
          <w:szCs w:val="24"/>
        </w:rPr>
        <w:t>注：本表反映部门本年度各项支出情况。</w:t>
      </w:r>
      <w:bookmarkStart w:id="0" w:name="RANGE!A1:I22"/>
      <w:bookmarkEnd w:id="0"/>
      <w:bookmarkStart w:id="1" w:name="RANGE!A1:F16"/>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bidi="ar"/>
        </w:rPr>
        <w:t>道县文学艺术界联合会</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0" w:type="auto"/>
        <w:jc w:val="center"/>
        <w:tblLayout w:type="autofit"/>
        <w:tblCellMar>
          <w:top w:w="0" w:type="dxa"/>
          <w:left w:w="108" w:type="dxa"/>
          <w:bottom w:w="0" w:type="dxa"/>
          <w:right w:w="108" w:type="dxa"/>
        </w:tblCellMar>
      </w:tblPr>
      <w:tblGrid>
        <w:gridCol w:w="3516"/>
        <w:gridCol w:w="616"/>
        <w:gridCol w:w="696"/>
        <w:gridCol w:w="2636"/>
        <w:gridCol w:w="616"/>
        <w:gridCol w:w="696"/>
        <w:gridCol w:w="1985"/>
        <w:gridCol w:w="1669"/>
        <w:gridCol w:w="1790"/>
      </w:tblGrid>
      <w:tr>
        <w:tblPrEx>
          <w:tblCellMar>
            <w:top w:w="0" w:type="dxa"/>
            <w:left w:w="108" w:type="dxa"/>
            <w:bottom w:w="0" w:type="dxa"/>
            <w:right w:w="108" w:type="dxa"/>
          </w:tblCellMar>
        </w:tblPrEx>
        <w:trPr>
          <w:trHeight w:val="347"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tblPrEx>
          <w:tblCellMar>
            <w:top w:w="0" w:type="dxa"/>
            <w:left w:w="108" w:type="dxa"/>
            <w:bottom w:w="0" w:type="dxa"/>
            <w:right w:w="108" w:type="dxa"/>
          </w:tblCellMar>
        </w:tblPrEx>
        <w:trPr>
          <w:trHeight w:val="54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28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Times New Roman" w:hAnsi="Times New Roman" w:eastAsia="仿宋_GB2312" w:cs="Times New Roman"/>
                <w:kern w:val="0"/>
                <w:sz w:val="24"/>
                <w:szCs w:val="24"/>
              </w:rPr>
            </w:pPr>
            <w:r>
              <w:rPr>
                <w:rFonts w:ascii="Times New Roman" w:hAnsi="Times New Roman" w:eastAsia="仿宋_GB2312" w:cs="Times New Roman"/>
                <w:color w:val="000000"/>
                <w:kern w:val="0"/>
                <w:sz w:val="22"/>
                <w:lang w:bidi="ar"/>
              </w:rPr>
              <w:t>七、文化旅游体育与传媒支出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68.90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Times New Roman" w:hAnsi="Times New Roman" w:eastAsia="仿宋_GB2312" w:cs="Times New Roman"/>
                <w:kern w:val="0"/>
                <w:sz w:val="22"/>
              </w:rPr>
            </w:pPr>
            <w:r>
              <w:rPr>
                <w:rFonts w:ascii="Times New Roman" w:hAnsi="Times New Roman" w:eastAsia="仿宋_GB2312" w:cs="Times New Roman"/>
                <w:color w:val="000000"/>
                <w:kern w:val="0"/>
                <w:sz w:val="22"/>
                <w:lang w:bidi="ar"/>
              </w:rPr>
              <w:t>八、社会保障和就业支出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5.40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9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both"/>
              <w:rPr>
                <w:rFonts w:ascii="Times New Roman" w:hAnsi="Times New Roman" w:eastAsia="仿宋_GB2312" w:cs="Times New Roman"/>
                <w:b/>
                <w:bCs/>
                <w:kern w:val="0"/>
                <w:sz w:val="22"/>
              </w:rPr>
            </w:pPr>
            <w:r>
              <w:rPr>
                <w:rFonts w:ascii="Times New Roman" w:hAnsi="Times New Roman" w:eastAsia="仿宋_GB2312" w:cs="Times New Roman"/>
                <w:color w:val="000000"/>
                <w:kern w:val="0"/>
                <w:sz w:val="22"/>
                <w:lang w:bidi="ar"/>
              </w:rPr>
              <w:t>九、卫生健康支出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jc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2.80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ind w:firstLine="660" w:firstLineChars="300"/>
              <w:jc w:val="both"/>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77.10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267"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297"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337"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jc w:val="center"/>
        <w:rPr>
          <w:rFonts w:ascii="Times New Roman" w:hAnsi="Times New Roman" w:eastAsia="方正小标宋_GBK" w:cs="Times New Roman"/>
          <w:kern w:val="0"/>
          <w:sz w:val="36"/>
          <w:szCs w:val="36"/>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w:t>
      </w:r>
      <w:r>
        <w:rPr>
          <w:rFonts w:hint="eastAsia" w:ascii="Times New Roman" w:hAnsi="Times New Roman" w:eastAsia="仿宋_GB2312" w:cs="Times New Roman"/>
          <w:color w:val="000000"/>
          <w:kern w:val="0"/>
          <w:sz w:val="20"/>
          <w:szCs w:val="20"/>
          <w:lang w:bidi="ar"/>
        </w:rPr>
        <w:t>道县文学艺术界联合会</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8"/>
        <w:tblW w:w="14219" w:type="dxa"/>
        <w:jc w:val="center"/>
        <w:tblLayout w:type="autofit"/>
        <w:tblCellMar>
          <w:top w:w="0" w:type="dxa"/>
          <w:left w:w="108" w:type="dxa"/>
          <w:bottom w:w="0" w:type="dxa"/>
          <w:right w:w="108" w:type="dxa"/>
        </w:tblCellMar>
      </w:tblPr>
      <w:tblGrid>
        <w:gridCol w:w="1200"/>
        <w:gridCol w:w="3527"/>
        <w:gridCol w:w="3000"/>
        <w:gridCol w:w="3492"/>
        <w:gridCol w:w="3000"/>
      </w:tblGrid>
      <w:tr>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77.10</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60.85</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8.05</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207</w:t>
            </w:r>
          </w:p>
        </w:tc>
        <w:tc>
          <w:tcPr>
            <w:tcW w:w="3527" w:type="dxa"/>
            <w:tcBorders>
              <w:top w:val="nil"/>
              <w:left w:val="nil"/>
              <w:bottom w:val="single" w:color="auto" w:sz="4" w:space="0"/>
              <w:right w:val="single" w:color="auto" w:sz="4" w:space="0"/>
            </w:tcBorders>
            <w:shd w:val="clear" w:color="000000" w:fill="FFFFFF"/>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文化旅游体育与传媒支出</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68.90</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60.85</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8.05</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20701</w:t>
            </w:r>
          </w:p>
        </w:tc>
        <w:tc>
          <w:tcPr>
            <w:tcW w:w="3527" w:type="dxa"/>
            <w:tcBorders>
              <w:top w:val="nil"/>
              <w:left w:val="nil"/>
              <w:bottom w:val="single" w:color="auto" w:sz="4" w:space="0"/>
              <w:right w:val="single" w:color="auto" w:sz="4" w:space="0"/>
            </w:tcBorders>
            <w:shd w:val="clear" w:color="000000" w:fill="FFFFFF"/>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文化和旅游</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68.90</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60.85</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8.05</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2070199</w:t>
            </w:r>
          </w:p>
        </w:tc>
        <w:tc>
          <w:tcPr>
            <w:tcW w:w="3527" w:type="dxa"/>
            <w:tcBorders>
              <w:top w:val="nil"/>
              <w:left w:val="nil"/>
              <w:bottom w:val="single" w:color="auto" w:sz="4" w:space="0"/>
              <w:right w:val="single" w:color="auto" w:sz="4" w:space="0"/>
            </w:tcBorders>
            <w:shd w:val="clear" w:color="000000" w:fill="FFFFFF"/>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其他文化和旅游支出</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68.90</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60.85</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8.05</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jc w:val="lef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208</w:t>
            </w:r>
          </w:p>
        </w:tc>
        <w:tc>
          <w:tcPr>
            <w:tcW w:w="3527" w:type="dxa"/>
            <w:tcBorders>
              <w:top w:val="nil"/>
              <w:left w:val="nil"/>
              <w:bottom w:val="single" w:color="auto" w:sz="4" w:space="0"/>
              <w:right w:val="single" w:color="auto" w:sz="4" w:space="0"/>
            </w:tcBorders>
            <w:shd w:val="clear" w:color="000000" w:fill="FFFFFF"/>
            <w:vAlign w:val="center"/>
          </w:tcPr>
          <w:p>
            <w:pP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社会保障和就业支出</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5.40</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5.40</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hint="eastAsia" w:ascii="Times New Roman" w:hAnsi="Times New Roman" w:eastAsia="仿宋_GB2312" w:cs="Times New Roman"/>
                <w:kern w:val="0"/>
                <w:sz w:val="24"/>
                <w:szCs w:val="24"/>
                <w:lang w:val="en-US" w:eastAsia="zh-CN" w:bidi="ar-SA"/>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jc w:val="lef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20805</w:t>
            </w:r>
          </w:p>
        </w:tc>
        <w:tc>
          <w:tcPr>
            <w:tcW w:w="3527" w:type="dxa"/>
            <w:tcBorders>
              <w:top w:val="nil"/>
              <w:left w:val="nil"/>
              <w:bottom w:val="single" w:color="auto" w:sz="4" w:space="0"/>
              <w:right w:val="single" w:color="auto" w:sz="4" w:space="0"/>
            </w:tcBorders>
            <w:shd w:val="clear" w:color="000000" w:fill="FFFFFF"/>
            <w:vAlign w:val="center"/>
          </w:tcPr>
          <w:p>
            <w:pP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行政事业单位基本养老保险支出</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5.40</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5.40</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hint="eastAsia" w:ascii="Times New Roman" w:hAnsi="Times New Roman" w:eastAsia="仿宋_GB2312" w:cs="Times New Roman"/>
                <w:kern w:val="0"/>
                <w:sz w:val="24"/>
                <w:szCs w:val="24"/>
                <w:lang w:val="en-US" w:eastAsia="zh-CN" w:bidi="ar-SA"/>
              </w:rPr>
            </w:pPr>
          </w:p>
        </w:tc>
      </w:tr>
      <w:tr>
        <w:tblPrEx>
          <w:tblCellMar>
            <w:top w:w="0" w:type="dxa"/>
            <w:left w:w="108" w:type="dxa"/>
            <w:bottom w:w="0" w:type="dxa"/>
            <w:right w:w="108" w:type="dxa"/>
          </w:tblCellMar>
        </w:tblPrEx>
        <w:trPr>
          <w:trHeight w:val="385" w:hRule="atLeast"/>
          <w:jc w:val="center"/>
        </w:trPr>
        <w:tc>
          <w:tcPr>
            <w:tcW w:w="1200" w:type="dxa"/>
            <w:tcBorders>
              <w:top w:val="single" w:color="auto" w:sz="4" w:space="0"/>
              <w:left w:val="single" w:color="auto" w:sz="8" w:space="0"/>
              <w:bottom w:val="single" w:color="auto" w:sz="8" w:space="0"/>
              <w:right w:val="single" w:color="auto" w:sz="4" w:space="0"/>
            </w:tcBorders>
            <w:shd w:val="clear" w:color="000000" w:fill="FFFFFF"/>
            <w:vAlign w:val="center"/>
          </w:tcPr>
          <w:p>
            <w:pPr>
              <w:jc w:val="lef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2080505</w:t>
            </w:r>
          </w:p>
        </w:tc>
        <w:tc>
          <w:tcPr>
            <w:tcW w:w="3527" w:type="dxa"/>
            <w:tcBorders>
              <w:top w:val="nil"/>
              <w:left w:val="nil"/>
              <w:bottom w:val="single" w:color="auto" w:sz="8" w:space="0"/>
              <w:right w:val="single" w:color="auto" w:sz="4" w:space="0"/>
            </w:tcBorders>
            <w:shd w:val="clear" w:color="000000" w:fill="FFFFFF"/>
            <w:vAlign w:val="center"/>
          </w:tcPr>
          <w:p>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行政事业单位基本养老保险缴费支出</w:t>
            </w:r>
          </w:p>
        </w:tc>
        <w:tc>
          <w:tcPr>
            <w:tcW w:w="3000" w:type="dxa"/>
            <w:tcBorders>
              <w:top w:val="nil"/>
              <w:left w:val="nil"/>
              <w:bottom w:val="single" w:color="auto" w:sz="8"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5.40</w:t>
            </w:r>
          </w:p>
        </w:tc>
        <w:tc>
          <w:tcPr>
            <w:tcW w:w="3492" w:type="dxa"/>
            <w:tcBorders>
              <w:top w:val="nil"/>
              <w:left w:val="nil"/>
              <w:bottom w:val="single" w:color="auto" w:sz="8"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5.40</w:t>
            </w:r>
          </w:p>
        </w:tc>
        <w:tc>
          <w:tcPr>
            <w:tcW w:w="3000" w:type="dxa"/>
            <w:tcBorders>
              <w:top w:val="nil"/>
              <w:left w:val="nil"/>
              <w:bottom w:val="single" w:color="auto" w:sz="8" w:space="0"/>
              <w:right w:val="single" w:color="auto" w:sz="8" w:space="0"/>
            </w:tcBorders>
            <w:shd w:val="clear" w:color="auto" w:fill="auto"/>
            <w:vAlign w:val="center"/>
          </w:tcPr>
          <w:p>
            <w:pPr>
              <w:widowControl/>
              <w:jc w:val="center"/>
              <w:rPr>
                <w:rFonts w:hint="eastAsia" w:ascii="Times New Roman" w:hAnsi="Times New Roman" w:eastAsia="仿宋_GB2312" w:cs="Times New Roman"/>
                <w:kern w:val="0"/>
                <w:sz w:val="24"/>
                <w:szCs w:val="24"/>
                <w:lang w:val="en-US" w:eastAsia="zh-CN" w:bidi="ar-SA"/>
              </w:rPr>
            </w:pPr>
          </w:p>
        </w:tc>
      </w:tr>
      <w:tr>
        <w:tblPrEx>
          <w:tblCellMar>
            <w:top w:w="0" w:type="dxa"/>
            <w:left w:w="108" w:type="dxa"/>
            <w:bottom w:w="0" w:type="dxa"/>
            <w:right w:w="108" w:type="dxa"/>
          </w:tblCellMar>
        </w:tblPrEx>
        <w:trPr>
          <w:trHeight w:val="385" w:hRule="atLeast"/>
          <w:jc w:val="center"/>
        </w:trPr>
        <w:tc>
          <w:tcPr>
            <w:tcW w:w="1200" w:type="dxa"/>
            <w:tcBorders>
              <w:top w:val="single" w:color="auto" w:sz="4" w:space="0"/>
              <w:left w:val="single" w:color="auto" w:sz="8" w:space="0"/>
              <w:bottom w:val="single" w:color="auto" w:sz="8" w:space="0"/>
              <w:right w:val="single" w:color="auto" w:sz="4" w:space="0"/>
            </w:tcBorders>
            <w:shd w:val="clear" w:color="000000" w:fill="FFFFFF"/>
            <w:vAlign w:val="center"/>
          </w:tcPr>
          <w:p>
            <w:pPr>
              <w:jc w:val="lef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210</w:t>
            </w:r>
          </w:p>
        </w:tc>
        <w:tc>
          <w:tcPr>
            <w:tcW w:w="3527" w:type="dxa"/>
            <w:tcBorders>
              <w:top w:val="nil"/>
              <w:left w:val="nil"/>
              <w:bottom w:val="single" w:color="auto" w:sz="8" w:space="0"/>
              <w:right w:val="single" w:color="auto" w:sz="4" w:space="0"/>
            </w:tcBorders>
            <w:shd w:val="clear" w:color="000000" w:fill="FFFFFF"/>
            <w:vAlign w:val="center"/>
          </w:tcPr>
          <w:p>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卫生健康支出</w:t>
            </w:r>
          </w:p>
        </w:tc>
        <w:tc>
          <w:tcPr>
            <w:tcW w:w="3000" w:type="dxa"/>
            <w:tcBorders>
              <w:top w:val="nil"/>
              <w:left w:val="nil"/>
              <w:bottom w:val="single" w:color="auto" w:sz="8" w:space="0"/>
              <w:right w:val="single" w:color="auto" w:sz="4" w:space="0"/>
            </w:tcBorders>
            <w:shd w:val="clear" w:color="auto" w:fill="auto"/>
            <w:vAlign w:val="top"/>
          </w:tcPr>
          <w:p>
            <w:pPr>
              <w:widowControl/>
              <w:jc w:val="center"/>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2.80</w:t>
            </w:r>
          </w:p>
        </w:tc>
        <w:tc>
          <w:tcPr>
            <w:tcW w:w="3492" w:type="dxa"/>
            <w:tcBorders>
              <w:top w:val="nil"/>
              <w:left w:val="nil"/>
              <w:bottom w:val="single" w:color="auto" w:sz="8" w:space="0"/>
              <w:right w:val="single" w:color="auto" w:sz="4" w:space="0"/>
            </w:tcBorders>
            <w:shd w:val="clear" w:color="auto" w:fill="auto"/>
            <w:vAlign w:val="top"/>
          </w:tcPr>
          <w:p>
            <w:pPr>
              <w:widowControl/>
              <w:jc w:val="center"/>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2.80</w:t>
            </w:r>
          </w:p>
        </w:tc>
        <w:tc>
          <w:tcPr>
            <w:tcW w:w="3000" w:type="dxa"/>
            <w:tcBorders>
              <w:top w:val="nil"/>
              <w:left w:val="nil"/>
              <w:bottom w:val="single" w:color="auto" w:sz="8" w:space="0"/>
              <w:right w:val="single" w:color="auto" w:sz="8" w:space="0"/>
            </w:tcBorders>
            <w:shd w:val="clear" w:color="auto" w:fill="auto"/>
            <w:vAlign w:val="top"/>
          </w:tcPr>
          <w:p>
            <w:pPr>
              <w:widowControl/>
              <w:jc w:val="center"/>
              <w:rPr>
                <w:rFonts w:hint="eastAsia" w:ascii="Times New Roman" w:hAnsi="Times New Roman" w:eastAsia="仿宋_GB2312" w:cs="Times New Roman"/>
                <w:kern w:val="0"/>
                <w:sz w:val="24"/>
                <w:szCs w:val="24"/>
                <w:lang w:val="en-US" w:eastAsia="zh-CN" w:bidi="ar-SA"/>
              </w:rPr>
            </w:pPr>
          </w:p>
        </w:tc>
      </w:tr>
      <w:tr>
        <w:tblPrEx>
          <w:tblCellMar>
            <w:top w:w="0" w:type="dxa"/>
            <w:left w:w="108" w:type="dxa"/>
            <w:bottom w:w="0" w:type="dxa"/>
            <w:right w:w="108" w:type="dxa"/>
          </w:tblCellMar>
        </w:tblPrEx>
        <w:trPr>
          <w:trHeight w:val="385" w:hRule="atLeast"/>
          <w:jc w:val="center"/>
        </w:trPr>
        <w:tc>
          <w:tcPr>
            <w:tcW w:w="1200" w:type="dxa"/>
            <w:tcBorders>
              <w:top w:val="single" w:color="auto" w:sz="4" w:space="0"/>
              <w:left w:val="single" w:color="auto" w:sz="8" w:space="0"/>
              <w:bottom w:val="single" w:color="auto" w:sz="8" w:space="0"/>
              <w:right w:val="single" w:color="auto" w:sz="4" w:space="0"/>
            </w:tcBorders>
            <w:shd w:val="clear" w:color="000000" w:fill="FFFFFF"/>
            <w:vAlign w:val="center"/>
          </w:tcPr>
          <w:p>
            <w:pPr>
              <w:jc w:val="lef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21011</w:t>
            </w:r>
          </w:p>
        </w:tc>
        <w:tc>
          <w:tcPr>
            <w:tcW w:w="3527" w:type="dxa"/>
            <w:tcBorders>
              <w:top w:val="nil"/>
              <w:left w:val="nil"/>
              <w:bottom w:val="single" w:color="auto" w:sz="8" w:space="0"/>
              <w:right w:val="single" w:color="auto" w:sz="4" w:space="0"/>
            </w:tcBorders>
            <w:shd w:val="clear" w:color="000000" w:fill="FFFFFF"/>
            <w:vAlign w:val="center"/>
          </w:tcPr>
          <w:p>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行政事业单位医疗</w:t>
            </w:r>
          </w:p>
        </w:tc>
        <w:tc>
          <w:tcPr>
            <w:tcW w:w="3000" w:type="dxa"/>
            <w:tcBorders>
              <w:top w:val="nil"/>
              <w:left w:val="nil"/>
              <w:bottom w:val="single" w:color="auto" w:sz="8" w:space="0"/>
              <w:right w:val="single" w:color="auto" w:sz="4" w:space="0"/>
            </w:tcBorders>
            <w:shd w:val="clear" w:color="auto" w:fill="auto"/>
            <w:vAlign w:val="top"/>
          </w:tcPr>
          <w:p>
            <w:pPr>
              <w:widowControl/>
              <w:jc w:val="center"/>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2.80</w:t>
            </w:r>
          </w:p>
        </w:tc>
        <w:tc>
          <w:tcPr>
            <w:tcW w:w="3492" w:type="dxa"/>
            <w:tcBorders>
              <w:top w:val="nil"/>
              <w:left w:val="nil"/>
              <w:bottom w:val="single" w:color="auto" w:sz="8" w:space="0"/>
              <w:right w:val="single" w:color="auto" w:sz="4" w:space="0"/>
            </w:tcBorders>
            <w:shd w:val="clear" w:color="auto" w:fill="auto"/>
            <w:vAlign w:val="top"/>
          </w:tcPr>
          <w:p>
            <w:pPr>
              <w:widowControl/>
              <w:jc w:val="center"/>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2.80</w:t>
            </w:r>
          </w:p>
        </w:tc>
        <w:tc>
          <w:tcPr>
            <w:tcW w:w="3000" w:type="dxa"/>
            <w:tcBorders>
              <w:top w:val="nil"/>
              <w:left w:val="nil"/>
              <w:bottom w:val="single" w:color="auto" w:sz="8" w:space="0"/>
              <w:right w:val="single" w:color="auto" w:sz="8" w:space="0"/>
            </w:tcBorders>
            <w:shd w:val="clear" w:color="auto" w:fill="auto"/>
            <w:vAlign w:val="top"/>
          </w:tcPr>
          <w:p>
            <w:pPr>
              <w:widowControl/>
              <w:jc w:val="center"/>
              <w:rPr>
                <w:rFonts w:hint="eastAsia" w:ascii="Times New Roman" w:hAnsi="Times New Roman" w:eastAsia="仿宋_GB2312" w:cs="Times New Roman"/>
                <w:kern w:val="0"/>
                <w:sz w:val="24"/>
                <w:szCs w:val="24"/>
                <w:lang w:val="en-US" w:eastAsia="zh-CN" w:bidi="ar-SA"/>
              </w:rPr>
            </w:pPr>
          </w:p>
        </w:tc>
      </w:tr>
      <w:tr>
        <w:tblPrEx>
          <w:tblCellMar>
            <w:top w:w="0" w:type="dxa"/>
            <w:left w:w="108" w:type="dxa"/>
            <w:bottom w:w="0" w:type="dxa"/>
            <w:right w:w="108" w:type="dxa"/>
          </w:tblCellMar>
        </w:tblPrEx>
        <w:trPr>
          <w:trHeight w:val="385" w:hRule="atLeast"/>
          <w:jc w:val="center"/>
        </w:trPr>
        <w:tc>
          <w:tcPr>
            <w:tcW w:w="1200" w:type="dxa"/>
            <w:tcBorders>
              <w:top w:val="single" w:color="auto" w:sz="4" w:space="0"/>
              <w:left w:val="single" w:color="auto" w:sz="8" w:space="0"/>
              <w:bottom w:val="single" w:color="auto" w:sz="8" w:space="0"/>
              <w:right w:val="single" w:color="auto" w:sz="4" w:space="0"/>
            </w:tcBorders>
            <w:shd w:val="clear" w:color="000000" w:fill="FFFFFF"/>
            <w:vAlign w:val="center"/>
          </w:tcPr>
          <w:p>
            <w:pPr>
              <w:jc w:val="lef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2101101</w:t>
            </w:r>
          </w:p>
        </w:tc>
        <w:tc>
          <w:tcPr>
            <w:tcW w:w="3527" w:type="dxa"/>
            <w:tcBorders>
              <w:top w:val="nil"/>
              <w:left w:val="nil"/>
              <w:bottom w:val="single" w:color="auto" w:sz="8" w:space="0"/>
              <w:right w:val="single" w:color="auto" w:sz="4" w:space="0"/>
            </w:tcBorders>
            <w:shd w:val="clear" w:color="000000" w:fill="FFFFFF"/>
            <w:vAlign w:val="center"/>
          </w:tcPr>
          <w:p>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行政单位医疗</w:t>
            </w:r>
          </w:p>
        </w:tc>
        <w:tc>
          <w:tcPr>
            <w:tcW w:w="3000" w:type="dxa"/>
            <w:tcBorders>
              <w:top w:val="nil"/>
              <w:left w:val="nil"/>
              <w:bottom w:val="single" w:color="auto" w:sz="8" w:space="0"/>
              <w:right w:val="single" w:color="auto" w:sz="4" w:space="0"/>
            </w:tcBorders>
            <w:shd w:val="clear" w:color="auto" w:fill="auto"/>
            <w:vAlign w:val="top"/>
          </w:tcPr>
          <w:p>
            <w:pPr>
              <w:widowControl/>
              <w:jc w:val="center"/>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2.80</w:t>
            </w:r>
          </w:p>
        </w:tc>
        <w:tc>
          <w:tcPr>
            <w:tcW w:w="3492" w:type="dxa"/>
            <w:tcBorders>
              <w:top w:val="nil"/>
              <w:left w:val="nil"/>
              <w:bottom w:val="single" w:color="auto" w:sz="8" w:space="0"/>
              <w:right w:val="single" w:color="auto" w:sz="4" w:space="0"/>
            </w:tcBorders>
            <w:shd w:val="clear" w:color="auto" w:fill="auto"/>
            <w:vAlign w:val="top"/>
          </w:tcPr>
          <w:p>
            <w:pPr>
              <w:widowControl/>
              <w:jc w:val="center"/>
              <w:rPr>
                <w:rFonts w:hint="default"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2.80</w:t>
            </w:r>
          </w:p>
        </w:tc>
        <w:tc>
          <w:tcPr>
            <w:tcW w:w="3000" w:type="dxa"/>
            <w:tcBorders>
              <w:top w:val="nil"/>
              <w:left w:val="nil"/>
              <w:bottom w:val="single" w:color="auto" w:sz="8" w:space="0"/>
              <w:right w:val="single" w:color="auto" w:sz="8" w:space="0"/>
            </w:tcBorders>
            <w:shd w:val="clear" w:color="auto" w:fill="auto"/>
            <w:vAlign w:val="top"/>
          </w:tcPr>
          <w:p>
            <w:pPr>
              <w:widowControl/>
              <w:jc w:val="center"/>
              <w:rPr>
                <w:rFonts w:hint="eastAsia" w:ascii="Times New Roman" w:hAnsi="Times New Roman" w:eastAsia="仿宋_GB2312" w:cs="Times New Roman"/>
                <w:kern w:val="0"/>
                <w:sz w:val="24"/>
                <w:szCs w:val="24"/>
                <w:lang w:val="en-US" w:eastAsia="zh-CN" w:bidi="ar-SA"/>
              </w:rPr>
            </w:pPr>
          </w:p>
        </w:tc>
      </w:tr>
    </w:tbl>
    <w:p>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w:t>
      </w:r>
      <w:r>
        <w:rPr>
          <w:rFonts w:hint="eastAsia" w:ascii="Times New Roman" w:hAnsi="Times New Roman" w:eastAsia="仿宋_GB2312" w:cs="Times New Roman"/>
          <w:color w:val="000000"/>
          <w:kern w:val="0"/>
          <w:sz w:val="20"/>
          <w:szCs w:val="20"/>
          <w:lang w:bidi="ar"/>
        </w:rPr>
        <w:t>道县文学艺术界联合会</w:t>
      </w:r>
      <w:r>
        <w:rPr>
          <w:rFonts w:ascii="Times New Roman" w:hAnsi="Times New Roman" w:eastAsia="仿宋_GB2312" w:cs="Times New Roman"/>
          <w:color w:val="000000"/>
          <w:kern w:val="0"/>
          <w:szCs w:val="21"/>
        </w:rPr>
        <w:t xml:space="preserve">                                                                                                公开06表</w:t>
      </w:r>
    </w:p>
    <w:p>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tblPrEx>
          <w:tblCellMar>
            <w:top w:w="0" w:type="dxa"/>
            <w:left w:w="108" w:type="dxa"/>
            <w:bottom w:w="0" w:type="dxa"/>
            <w:right w:w="108" w:type="dxa"/>
          </w:tblCellMar>
        </w:tblPrEx>
        <w:trPr>
          <w:trHeight w:val="565"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58.63</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10.15</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28.47</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0.9</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10.92</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2.11</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snapToGrid w:val="0"/>
                <w:color w:val="000000"/>
                <w:kern w:val="0"/>
                <w:sz w:val="22"/>
                <w:szCs w:val="22"/>
                <w:u w:val="none"/>
                <w:lang w:val="en-US" w:eastAsia="zh-CN" w:bidi="ar"/>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8.92</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5.40</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snapToGrid w:val="0"/>
                <w:color w:val="000000"/>
                <w:kern w:val="0"/>
                <w:sz w:val="22"/>
                <w:szCs w:val="22"/>
                <w:u w:val="none"/>
                <w:lang w:val="en-US" w:eastAsia="zh-CN" w:bidi="ar"/>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2.80</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snapToGrid w:val="0"/>
                <w:color w:val="000000"/>
                <w:kern w:val="0"/>
                <w:sz w:val="22"/>
                <w:szCs w:val="22"/>
                <w:u w:val="none"/>
                <w:lang w:val="en-US" w:eastAsia="zh-CN" w:bidi="ar"/>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top"/>
          </w:tcPr>
          <w:p>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pPr>
              <w:widowControl/>
              <w:ind w:firstLine="210" w:firstLineChars="100"/>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0.1</w:t>
            </w: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top"/>
          </w:tcPr>
          <w:p>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top"/>
          </w:tcPr>
          <w:p>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top"/>
          </w:tcPr>
          <w:p>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top"/>
          </w:tcPr>
          <w:p>
            <w:pPr>
              <w:keepNext w:val="0"/>
              <w:keepLines w:val="0"/>
              <w:widowControl/>
              <w:suppressLineNumbers w:val="0"/>
              <w:jc w:val="center"/>
              <w:textAlignment w:val="center"/>
              <w:rPr>
                <w:rFonts w:hint="default"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0.27</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top"/>
          </w:tcPr>
          <w:p>
            <w:pPr>
              <w:keepNext w:val="0"/>
              <w:keepLines w:val="0"/>
              <w:widowControl/>
              <w:suppressLineNumbers w:val="0"/>
              <w:jc w:val="center"/>
              <w:textAlignment w:val="center"/>
              <w:rPr>
                <w:rFonts w:hint="default"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0.27</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0.2</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0.6</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1.8</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3.54</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3.01</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58.90</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18"/>
                <w:lang w:val="en-US" w:eastAsia="zh-CN"/>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lang w:val="en-US" w:eastAsia="zh-CN"/>
              </w:rPr>
              <w:t>10.15</w:t>
            </w:r>
          </w:p>
        </w:tc>
      </w:tr>
    </w:tbl>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line="400" w:lineRule="exact"/>
        <w:jc w:val="center"/>
        <w:textAlignment w:val="center"/>
        <w:rPr>
          <w:rFonts w:ascii="Times New Roman" w:hAnsi="Times New Roman" w:eastAsia="仿宋_GB2312"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道县文学艺术界联合会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5"/>
                <w:rFonts w:hint="default" w:ascii="Times New Roman" w:hAnsi="Times New Roman" w:eastAsia="仿宋_GB2312" w:cs="Times New Roman"/>
                <w:b/>
                <w:bCs/>
                <w:lang w:bidi="ar"/>
              </w:rPr>
              <w:t xml:space="preserve">   </w:t>
            </w:r>
            <w:r>
              <w:rPr>
                <w:rStyle w:val="16"/>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w:t>
      </w:r>
    </w:p>
    <w:p>
      <w:pPr>
        <w:widowControl/>
        <w:jc w:val="center"/>
        <w:rPr>
          <w:rFonts w:ascii="Times New Roman" w:hAnsi="Times New Roman" w:eastAsia="方正小标宋_GBK" w:cs="Times New Roman"/>
          <w:color w:val="000000"/>
          <w:kern w:val="0"/>
          <w:sz w:val="36"/>
          <w:szCs w:val="36"/>
        </w:rPr>
      </w:pPr>
    </w:p>
    <w:p>
      <w:pPr>
        <w:widowControl/>
        <w:spacing w:line="400" w:lineRule="exact"/>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道县文学艺术界联合会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7"/>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pPr>
        <w:widowControl/>
        <w:jc w:val="center"/>
        <w:rPr>
          <w:rFonts w:ascii="Times New Roman" w:hAnsi="Times New Roman" w:eastAsia="方正小标宋_GBK" w:cs="Times New Roman"/>
          <w:color w:val="000000"/>
          <w:kern w:val="0"/>
          <w:sz w:val="36"/>
          <w:szCs w:val="36"/>
        </w:rPr>
      </w:pPr>
    </w:p>
    <w:p>
      <w:pPr>
        <w:pStyle w:val="7"/>
        <w:spacing w:line="400" w:lineRule="exact"/>
        <w:rPr>
          <w:rFonts w:ascii="Times New Roman" w:hAnsi="Times New Roman" w:eastAsia="华文中宋"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道县文学艺术界联合会</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8"/>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0.30</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pPr>
        <w:pStyle w:val="12"/>
        <w:rPr>
          <w:rFonts w:ascii="Times New Roman" w:hAnsi="Times New Roman" w:cs="Times New Roman"/>
          <w:sz w:val="72"/>
          <w:szCs w:val="72"/>
        </w:rPr>
      </w:pPr>
    </w:p>
    <w:p>
      <w:pPr>
        <w:pStyle w:val="12"/>
        <w:rPr>
          <w:rFonts w:ascii="Times New Roman" w:hAnsi="Times New Roman" w:cs="Times New Roman"/>
          <w:sz w:val="72"/>
          <w:szCs w:val="72"/>
        </w:rPr>
      </w:pPr>
    </w:p>
    <w:p>
      <w:pPr>
        <w:pStyle w:val="12"/>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eastAsia="方正小标宋_GBK"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77.10</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4.22</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5.79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人员经费和项目经费有所增加</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人员经费和项目经费</w:t>
      </w:r>
      <w:r>
        <w:rPr>
          <w:rFonts w:hint="eastAsia" w:ascii="Times New Roman" w:hAnsi="Times New Roman" w:eastAsia="仿宋_GB2312" w:cs="Times New Roman"/>
          <w:sz w:val="32"/>
          <w:szCs w:val="32"/>
          <w:lang w:eastAsia="zh-CN"/>
        </w:rPr>
        <w:t>等重点支出，体现在有关支出科目中。</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77.10</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77.10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77.10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69.05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89.56</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8.05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10.44</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77.10</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4.22</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5.79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人员经费和项目经费支出增加</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77.10</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4.22</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5.79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人员经费和项目经费支出增加</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2025年</w:t>
      </w:r>
      <w:r>
        <w:rPr>
          <w:rFonts w:ascii="Times New Roman" w:hAnsi="Times New Roman" w:eastAsia="仿宋_GB2312" w:cs="Times New Roman"/>
          <w:sz w:val="32"/>
          <w:szCs w:val="32"/>
          <w:lang w:val="en-US" w:eastAsia="zh-CN"/>
        </w:rPr>
        <w:t>度财政拨款支出</w:t>
      </w:r>
      <w:r>
        <w:rPr>
          <w:rFonts w:hint="eastAsia" w:ascii="Times New Roman" w:hAnsi="Times New Roman" w:eastAsia="仿宋_GB2312" w:cs="Times New Roman"/>
          <w:sz w:val="32"/>
          <w:szCs w:val="32"/>
          <w:lang w:val="en-US" w:eastAsia="zh-CN"/>
        </w:rPr>
        <w:t>77.10</w:t>
      </w:r>
      <w:r>
        <w:rPr>
          <w:rFonts w:ascii="Times New Roman" w:hAnsi="Times New Roman" w:eastAsia="仿宋_GB2312" w:cs="Times New Roman"/>
          <w:sz w:val="32"/>
          <w:szCs w:val="32"/>
          <w:lang w:val="en-US" w:eastAsia="zh-CN"/>
        </w:rPr>
        <w:t>万元，主要用于以下方面：</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lang w:val="en-US" w:eastAsia="zh-CN"/>
        </w:rPr>
        <w:t>文化旅游体育与传媒支出（类）</w:t>
      </w:r>
      <w:r>
        <w:rPr>
          <w:rFonts w:hint="eastAsia" w:ascii="Times New Roman" w:hAnsi="Times New Roman" w:eastAsia="仿宋_GB2312" w:cs="Times New Roman"/>
          <w:sz w:val="32"/>
          <w:szCs w:val="32"/>
          <w:lang w:val="en-US" w:eastAsia="zh-CN"/>
        </w:rPr>
        <w:t>文化和旅游</w:t>
      </w:r>
      <w:r>
        <w:rPr>
          <w:rFonts w:ascii="Times New Roman" w:hAnsi="Times New Roman" w:eastAsia="仿宋_GB2312" w:cs="Times New Roman"/>
          <w:sz w:val="32"/>
          <w:szCs w:val="32"/>
          <w:lang w:val="en-US" w:eastAsia="zh-CN"/>
        </w:rPr>
        <w:t>（款）其他</w:t>
      </w:r>
      <w:r>
        <w:rPr>
          <w:rFonts w:hint="eastAsia" w:ascii="Times New Roman" w:hAnsi="Times New Roman" w:eastAsia="仿宋_GB2312" w:cs="Times New Roman"/>
          <w:sz w:val="32"/>
          <w:szCs w:val="32"/>
          <w:lang w:val="en-US" w:eastAsia="zh-CN"/>
        </w:rPr>
        <w:t>文化和旅游</w:t>
      </w:r>
      <w:r>
        <w:rPr>
          <w:rFonts w:ascii="Times New Roman" w:hAnsi="Times New Roman" w:eastAsia="仿宋_GB2312" w:cs="Times New Roman"/>
          <w:sz w:val="32"/>
          <w:szCs w:val="32"/>
          <w:lang w:val="en-US" w:eastAsia="zh-CN"/>
        </w:rPr>
        <w:t xml:space="preserve">支出（项）。 </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lang w:val="en-US" w:eastAsia="zh-CN"/>
        </w:rPr>
        <w:t>年初预算为</w:t>
      </w:r>
      <w:r>
        <w:rPr>
          <w:rFonts w:hint="eastAsia" w:ascii="Times New Roman" w:hAnsi="Times New Roman" w:eastAsia="仿宋_GB2312" w:cs="Times New Roman"/>
          <w:sz w:val="32"/>
          <w:szCs w:val="32"/>
          <w:lang w:val="en-US" w:eastAsia="zh-CN"/>
        </w:rPr>
        <w:t>59.68</w:t>
      </w:r>
      <w:r>
        <w:rPr>
          <w:rFonts w:ascii="Times New Roman" w:hAnsi="Times New Roman" w:eastAsia="仿宋_GB2312" w:cs="Times New Roman"/>
          <w:sz w:val="32"/>
          <w:szCs w:val="32"/>
          <w:lang w:val="en-US" w:eastAsia="zh-CN"/>
        </w:rPr>
        <w:t>万元，支出决算为</w:t>
      </w:r>
      <w:r>
        <w:rPr>
          <w:rFonts w:hint="eastAsia" w:ascii="Times New Roman" w:hAnsi="Times New Roman" w:eastAsia="仿宋_GB2312" w:cs="Times New Roman"/>
          <w:sz w:val="32"/>
          <w:szCs w:val="32"/>
          <w:lang w:val="en-US" w:eastAsia="zh-CN"/>
        </w:rPr>
        <w:t>68.90</w:t>
      </w:r>
      <w:r>
        <w:rPr>
          <w:rFonts w:ascii="Times New Roman" w:hAnsi="Times New Roman" w:eastAsia="仿宋_GB2312" w:cs="Times New Roman"/>
          <w:sz w:val="32"/>
          <w:szCs w:val="32"/>
          <w:lang w:val="en-US" w:eastAsia="zh-CN"/>
        </w:rPr>
        <w:t>万元，完成年初预算的</w:t>
      </w:r>
      <w:r>
        <w:rPr>
          <w:rFonts w:hint="eastAsia" w:ascii="Times New Roman" w:hAnsi="Times New Roman" w:eastAsia="仿宋_GB2312" w:cs="Times New Roman"/>
          <w:sz w:val="32"/>
          <w:szCs w:val="32"/>
          <w:lang w:val="en-US" w:eastAsia="zh-CN"/>
        </w:rPr>
        <w:t>115.45%，</w:t>
      </w:r>
      <w:r>
        <w:rPr>
          <w:rFonts w:ascii="Times New Roman" w:hAnsi="Times New Roman" w:eastAsia="仿宋_GB2312" w:cs="Times New Roman"/>
          <w:sz w:val="32"/>
          <w:szCs w:val="32"/>
          <w:lang w:val="en-US" w:eastAsia="zh-CN"/>
        </w:rPr>
        <w:t>决算数</w:t>
      </w:r>
      <w:r>
        <w:rPr>
          <w:rFonts w:hint="eastAsia" w:ascii="Times New Roman" w:hAnsi="Times New Roman" w:eastAsia="仿宋_GB2312" w:cs="Times New Roman"/>
          <w:sz w:val="32"/>
          <w:szCs w:val="32"/>
          <w:lang w:val="en-US" w:eastAsia="zh-CN"/>
        </w:rPr>
        <w:t>大</w:t>
      </w:r>
      <w:r>
        <w:rPr>
          <w:rFonts w:ascii="Times New Roman" w:hAnsi="Times New Roman" w:eastAsia="仿宋_GB2312" w:cs="Times New Roman"/>
          <w:sz w:val="32"/>
          <w:szCs w:val="32"/>
          <w:lang w:val="en-US" w:eastAsia="zh-CN"/>
        </w:rPr>
        <w:t>于预算数</w:t>
      </w:r>
      <w:r>
        <w:rPr>
          <w:rFonts w:hint="eastAsia" w:ascii="Times New Roman" w:hAnsi="Times New Roman" w:eastAsia="仿宋_GB2312" w:cs="Times New Roman"/>
          <w:sz w:val="32"/>
          <w:szCs w:val="32"/>
          <w:lang w:val="en-US" w:eastAsia="zh-CN"/>
        </w:rPr>
        <w:t>的原因是人员经费增加。</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lang w:val="en-US" w:eastAsia="zh-CN"/>
        </w:rPr>
        <w:t>、社会保障和就业支出（类）行政事业单位养老支出（款）机关事业单位基本养老保险缴费支出（项）。</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年初预算为5.40万元，支出决算为5.40万元，</w:t>
      </w:r>
      <w:r>
        <w:rPr>
          <w:rFonts w:ascii="Times New Roman" w:hAnsi="Times New Roman" w:eastAsia="仿宋_GB2312" w:cs="Times New Roman"/>
          <w:sz w:val="32"/>
          <w:szCs w:val="32"/>
          <w:lang w:val="en-US" w:eastAsia="zh-CN"/>
        </w:rPr>
        <w:t>完成年初预算的</w:t>
      </w:r>
      <w:r>
        <w:rPr>
          <w:rFonts w:hint="eastAsia" w:ascii="Times New Roman" w:hAnsi="Times New Roman" w:eastAsia="仿宋_GB2312" w:cs="Times New Roman"/>
          <w:sz w:val="32"/>
          <w:szCs w:val="32"/>
          <w:lang w:val="en-US" w:eastAsia="zh-CN"/>
        </w:rPr>
        <w:t>100.00%。</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lang w:val="en-US" w:eastAsia="zh-CN"/>
        </w:rPr>
        <w:t>卫生健康支出（类）行政事业单位医疗（款）行政单位医疗（项）。</w:t>
      </w:r>
    </w:p>
    <w:p>
      <w:pPr>
        <w:pStyle w:val="12"/>
        <w:overflowPunct w:val="0"/>
        <w:autoSpaceDE/>
        <w:autoSpaceDN/>
        <w:spacing w:line="600" w:lineRule="exact"/>
        <w:ind w:firstLine="640" w:firstLineChars="200"/>
        <w:jc w:val="both"/>
        <w:rPr>
          <w:rFonts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sz w:val="32"/>
          <w:szCs w:val="32"/>
          <w:lang w:val="en-US" w:eastAsia="zh-CN"/>
        </w:rPr>
        <w:t>年初预算为</w:t>
      </w:r>
      <w:r>
        <w:rPr>
          <w:rFonts w:hint="eastAsia" w:ascii="Times New Roman" w:hAnsi="Times New Roman" w:eastAsia="仿宋_GB2312" w:cs="Times New Roman"/>
          <w:sz w:val="32"/>
          <w:szCs w:val="32"/>
          <w:lang w:val="en-US" w:eastAsia="zh-CN"/>
        </w:rPr>
        <w:t>2.80</w:t>
      </w:r>
      <w:r>
        <w:rPr>
          <w:rFonts w:ascii="Times New Roman" w:hAnsi="Times New Roman" w:eastAsia="仿宋_GB2312" w:cs="Times New Roman"/>
          <w:sz w:val="32"/>
          <w:szCs w:val="32"/>
          <w:lang w:val="en-US" w:eastAsia="zh-CN"/>
        </w:rPr>
        <w:t>万元，支出决算为</w:t>
      </w:r>
      <w:r>
        <w:rPr>
          <w:rFonts w:hint="eastAsia" w:ascii="Times New Roman" w:hAnsi="Times New Roman" w:eastAsia="仿宋_GB2312" w:cs="Times New Roman"/>
          <w:sz w:val="32"/>
          <w:szCs w:val="32"/>
          <w:lang w:val="en-US" w:eastAsia="zh-CN"/>
        </w:rPr>
        <w:t>2.80</w:t>
      </w:r>
      <w:r>
        <w:rPr>
          <w:rFonts w:ascii="Times New Roman" w:hAnsi="Times New Roman" w:eastAsia="仿宋_GB2312" w:cs="Times New Roman"/>
          <w:sz w:val="32"/>
          <w:szCs w:val="32"/>
          <w:lang w:val="en-US" w:eastAsia="zh-CN"/>
        </w:rPr>
        <w:t>万元，完成年初预算的</w:t>
      </w:r>
      <w:r>
        <w:rPr>
          <w:rFonts w:hint="eastAsia" w:ascii="Times New Roman" w:hAnsi="Times New Roman" w:eastAsia="仿宋_GB2312" w:cs="Times New Roman"/>
          <w:sz w:val="32"/>
          <w:szCs w:val="32"/>
          <w:lang w:val="en-US" w:eastAsia="zh-CN"/>
        </w:rPr>
        <w:t>100.00%。</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77.10</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77.10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67.88</w:t>
      </w:r>
      <w:r>
        <w:rPr>
          <w:rFonts w:ascii="Times New Roman" w:hAnsi="Times New Roman" w:eastAsia="仿宋_GB2312" w:cs="Times New Roman"/>
          <w:sz w:val="32"/>
          <w:szCs w:val="32"/>
        </w:rPr>
        <w:t>%，其中：</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lang w:val="en-US" w:eastAsia="zh-CN"/>
        </w:rPr>
        <w:t>文化旅游体育与传媒支出（类）</w:t>
      </w:r>
      <w:r>
        <w:rPr>
          <w:rFonts w:hint="eastAsia" w:ascii="Times New Roman" w:hAnsi="Times New Roman" w:eastAsia="仿宋_GB2312" w:cs="Times New Roman"/>
          <w:sz w:val="32"/>
          <w:szCs w:val="32"/>
          <w:lang w:val="en-US" w:eastAsia="zh-CN"/>
        </w:rPr>
        <w:t>文化和旅游</w:t>
      </w:r>
      <w:r>
        <w:rPr>
          <w:rFonts w:ascii="Times New Roman" w:hAnsi="Times New Roman" w:eastAsia="仿宋_GB2312" w:cs="Times New Roman"/>
          <w:sz w:val="32"/>
          <w:szCs w:val="32"/>
          <w:lang w:val="en-US" w:eastAsia="zh-CN"/>
        </w:rPr>
        <w:t>（款）其他</w:t>
      </w:r>
      <w:r>
        <w:rPr>
          <w:rFonts w:hint="eastAsia" w:ascii="Times New Roman" w:hAnsi="Times New Roman" w:eastAsia="仿宋_GB2312" w:cs="Times New Roman"/>
          <w:sz w:val="32"/>
          <w:szCs w:val="32"/>
          <w:lang w:val="en-US" w:eastAsia="zh-CN"/>
        </w:rPr>
        <w:t>文化和旅游</w:t>
      </w:r>
      <w:r>
        <w:rPr>
          <w:rFonts w:ascii="Times New Roman" w:hAnsi="Times New Roman" w:eastAsia="仿宋_GB2312" w:cs="Times New Roman"/>
          <w:sz w:val="32"/>
          <w:szCs w:val="32"/>
          <w:lang w:val="en-US" w:eastAsia="zh-CN"/>
        </w:rPr>
        <w:t xml:space="preserve">支出（项）。 </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lang w:val="en-US" w:eastAsia="zh-CN"/>
        </w:rPr>
        <w:t>年初预算为</w:t>
      </w:r>
      <w:r>
        <w:rPr>
          <w:rFonts w:hint="eastAsia" w:ascii="Times New Roman" w:hAnsi="Times New Roman" w:eastAsia="仿宋_GB2312" w:cs="Times New Roman"/>
          <w:sz w:val="32"/>
          <w:szCs w:val="32"/>
          <w:lang w:val="en-US" w:eastAsia="zh-CN"/>
        </w:rPr>
        <w:t>59.68</w:t>
      </w:r>
      <w:r>
        <w:rPr>
          <w:rFonts w:ascii="Times New Roman" w:hAnsi="Times New Roman" w:eastAsia="仿宋_GB2312" w:cs="Times New Roman"/>
          <w:sz w:val="32"/>
          <w:szCs w:val="32"/>
          <w:lang w:val="en-US" w:eastAsia="zh-CN"/>
        </w:rPr>
        <w:t>万元，支出决算为</w:t>
      </w:r>
      <w:r>
        <w:rPr>
          <w:rFonts w:hint="eastAsia" w:ascii="Times New Roman" w:hAnsi="Times New Roman" w:eastAsia="仿宋_GB2312" w:cs="Times New Roman"/>
          <w:sz w:val="32"/>
          <w:szCs w:val="32"/>
          <w:lang w:val="en-US" w:eastAsia="zh-CN"/>
        </w:rPr>
        <w:t>68.90</w:t>
      </w:r>
      <w:r>
        <w:rPr>
          <w:rFonts w:ascii="Times New Roman" w:hAnsi="Times New Roman" w:eastAsia="仿宋_GB2312" w:cs="Times New Roman"/>
          <w:sz w:val="32"/>
          <w:szCs w:val="32"/>
          <w:lang w:val="en-US" w:eastAsia="zh-CN"/>
        </w:rPr>
        <w:t>万元，完成年初预算的</w:t>
      </w:r>
      <w:r>
        <w:rPr>
          <w:rFonts w:hint="eastAsia" w:ascii="Times New Roman" w:hAnsi="Times New Roman" w:eastAsia="仿宋_GB2312" w:cs="Times New Roman"/>
          <w:sz w:val="32"/>
          <w:szCs w:val="32"/>
          <w:lang w:val="en-US" w:eastAsia="zh-CN"/>
        </w:rPr>
        <w:t>115.45%，</w:t>
      </w:r>
      <w:r>
        <w:rPr>
          <w:rFonts w:ascii="Times New Roman" w:hAnsi="Times New Roman" w:eastAsia="仿宋_GB2312" w:cs="Times New Roman"/>
          <w:sz w:val="32"/>
          <w:szCs w:val="32"/>
          <w:lang w:val="en-US" w:eastAsia="zh-CN"/>
        </w:rPr>
        <w:t>决算数</w:t>
      </w:r>
      <w:r>
        <w:rPr>
          <w:rFonts w:hint="eastAsia" w:ascii="Times New Roman" w:hAnsi="Times New Roman" w:eastAsia="仿宋_GB2312" w:cs="Times New Roman"/>
          <w:sz w:val="32"/>
          <w:szCs w:val="32"/>
          <w:lang w:val="en-US" w:eastAsia="zh-CN"/>
        </w:rPr>
        <w:t>大</w:t>
      </w:r>
      <w:r>
        <w:rPr>
          <w:rFonts w:ascii="Times New Roman" w:hAnsi="Times New Roman" w:eastAsia="仿宋_GB2312" w:cs="Times New Roman"/>
          <w:sz w:val="32"/>
          <w:szCs w:val="32"/>
          <w:lang w:val="en-US" w:eastAsia="zh-CN"/>
        </w:rPr>
        <w:t>于预算数决算数</w:t>
      </w:r>
      <w:r>
        <w:rPr>
          <w:rFonts w:hint="eastAsia" w:ascii="Times New Roman" w:hAnsi="Times New Roman" w:eastAsia="仿宋_GB2312" w:cs="Times New Roman"/>
          <w:sz w:val="32"/>
          <w:szCs w:val="32"/>
          <w:lang w:val="en-US" w:eastAsia="zh-CN"/>
        </w:rPr>
        <w:t>大</w:t>
      </w:r>
      <w:r>
        <w:rPr>
          <w:rFonts w:ascii="Times New Roman" w:hAnsi="Times New Roman" w:eastAsia="仿宋_GB2312" w:cs="Times New Roman"/>
          <w:sz w:val="32"/>
          <w:szCs w:val="32"/>
          <w:lang w:val="en-US" w:eastAsia="zh-CN"/>
        </w:rPr>
        <w:t>于预算数</w:t>
      </w:r>
      <w:r>
        <w:rPr>
          <w:rFonts w:hint="eastAsia" w:ascii="Times New Roman" w:hAnsi="Times New Roman" w:eastAsia="仿宋_GB2312" w:cs="Times New Roman"/>
          <w:sz w:val="32"/>
          <w:szCs w:val="32"/>
          <w:lang w:val="en-US" w:eastAsia="zh-CN"/>
        </w:rPr>
        <w:t>的原因是人员经费增加。</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lang w:val="en-US" w:eastAsia="zh-CN"/>
        </w:rPr>
        <w:t>、社会保障和就业支出（类）行政事业单位养老支出（款）机关事业单位基本养老保险缴费支出（项）。</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年初预算为5.40万元，支出决算为5.40万元，</w:t>
      </w:r>
      <w:r>
        <w:rPr>
          <w:rFonts w:ascii="Times New Roman" w:hAnsi="Times New Roman" w:eastAsia="仿宋_GB2312" w:cs="Times New Roman"/>
          <w:sz w:val="32"/>
          <w:szCs w:val="32"/>
          <w:lang w:val="en-US" w:eastAsia="zh-CN"/>
        </w:rPr>
        <w:t>完成年初预算的</w:t>
      </w:r>
      <w:r>
        <w:rPr>
          <w:rFonts w:hint="eastAsia" w:ascii="Times New Roman" w:hAnsi="Times New Roman" w:eastAsia="仿宋_GB2312" w:cs="Times New Roman"/>
          <w:sz w:val="32"/>
          <w:szCs w:val="32"/>
          <w:lang w:val="en-US" w:eastAsia="zh-CN"/>
        </w:rPr>
        <w:t>100.00%。</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lang w:val="en-US" w:eastAsia="zh-CN"/>
        </w:rPr>
        <w:t>卫生健康支出（类）行政事业单位医疗（款）行政单位医疗（项）。</w:t>
      </w:r>
    </w:p>
    <w:p>
      <w:pPr>
        <w:pStyle w:val="12"/>
        <w:overflowPunct w:val="0"/>
        <w:autoSpaceDE/>
        <w:autoSpaceDN/>
        <w:spacing w:line="600" w:lineRule="exact"/>
        <w:ind w:firstLine="640" w:firstLineChars="200"/>
        <w:jc w:val="both"/>
        <w:rPr>
          <w:rFonts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sz w:val="32"/>
          <w:szCs w:val="32"/>
          <w:lang w:val="en-US" w:eastAsia="zh-CN"/>
        </w:rPr>
        <w:t>年初预算为</w:t>
      </w:r>
      <w:r>
        <w:rPr>
          <w:rFonts w:hint="eastAsia" w:ascii="Times New Roman" w:hAnsi="Times New Roman" w:eastAsia="仿宋_GB2312" w:cs="Times New Roman"/>
          <w:sz w:val="32"/>
          <w:szCs w:val="32"/>
          <w:lang w:val="en-US" w:eastAsia="zh-CN"/>
        </w:rPr>
        <w:t>2.80</w:t>
      </w:r>
      <w:r>
        <w:rPr>
          <w:rFonts w:ascii="Times New Roman" w:hAnsi="Times New Roman" w:eastAsia="仿宋_GB2312" w:cs="Times New Roman"/>
          <w:sz w:val="32"/>
          <w:szCs w:val="32"/>
          <w:lang w:val="en-US" w:eastAsia="zh-CN"/>
        </w:rPr>
        <w:t>万元，支出决算为</w:t>
      </w:r>
      <w:r>
        <w:rPr>
          <w:rFonts w:hint="eastAsia" w:ascii="Times New Roman" w:hAnsi="Times New Roman" w:eastAsia="仿宋_GB2312" w:cs="Times New Roman"/>
          <w:sz w:val="32"/>
          <w:szCs w:val="32"/>
          <w:lang w:val="en-US" w:eastAsia="zh-CN"/>
        </w:rPr>
        <w:t>2.80</w:t>
      </w:r>
      <w:r>
        <w:rPr>
          <w:rFonts w:ascii="Times New Roman" w:hAnsi="Times New Roman" w:eastAsia="仿宋_GB2312" w:cs="Times New Roman"/>
          <w:sz w:val="32"/>
          <w:szCs w:val="32"/>
          <w:lang w:val="en-US" w:eastAsia="zh-CN"/>
        </w:rPr>
        <w:t>万元，完成年初预算的</w:t>
      </w:r>
      <w:r>
        <w:rPr>
          <w:rFonts w:hint="eastAsia" w:ascii="Times New Roman" w:hAnsi="Times New Roman" w:eastAsia="仿宋_GB2312" w:cs="Times New Roman"/>
          <w:sz w:val="32"/>
          <w:szCs w:val="32"/>
          <w:lang w:val="en-US" w:eastAsia="zh-CN"/>
        </w:rPr>
        <w:t>100.00%。</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w:t>
      </w:r>
      <w:r>
        <w:rPr>
          <w:rFonts w:ascii="Times New Roman" w:hAnsi="Times New Roman" w:eastAsia="仿宋_GB2312" w:cs="Times New Roman"/>
          <w:sz w:val="32"/>
          <w:szCs w:val="32"/>
          <w:lang w:val="en-US" w:eastAsia="zh-CN"/>
        </w:rPr>
        <w:t>文化旅游体育与传媒支出</w:t>
      </w:r>
      <w:r>
        <w:rPr>
          <w:rFonts w:hint="eastAsia" w:ascii="Times New Roman" w:hAnsi="Times New Roman" w:eastAsia="仿宋_GB2312" w:cs="Times New Roman"/>
          <w:sz w:val="32"/>
          <w:szCs w:val="32"/>
        </w:rPr>
        <w:t>方面的支出规模较大，主要是：</w:t>
      </w:r>
      <w:r>
        <w:rPr>
          <w:rFonts w:hint="eastAsia" w:ascii="Times New Roman" w:hAnsi="Times New Roman" w:eastAsia="仿宋_GB2312" w:cs="Times New Roman"/>
          <w:sz w:val="32"/>
          <w:szCs w:val="32"/>
          <w:lang w:val="en-US" w:eastAsia="zh-CN"/>
        </w:rPr>
        <w:t>人员经费</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58.89</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76.39</w:t>
      </w:r>
      <w:r>
        <w:rPr>
          <w:rFonts w:hint="eastAsia" w:ascii="Times New Roman" w:hAnsi="Times New Roman" w:eastAsia="仿宋_GB2312" w:cs="Times New Roman"/>
          <w:sz w:val="32"/>
          <w:szCs w:val="32"/>
        </w:rPr>
        <w:t>%</w:t>
      </w:r>
      <w:r>
        <w:rPr>
          <w:rFonts w:hint="eastAsia" w:ascii="Times New Roman" w:hAnsi="Times New Roman" w:eastAsia="楷体_GB2312" w:cs="Times New Roman"/>
          <w:b/>
          <w:bCs/>
          <w:i/>
          <w:color w:val="auto"/>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69.05</w:t>
      </w:r>
      <w:r>
        <w:rPr>
          <w:rFonts w:ascii="Times New Roman" w:hAnsi="Times New Roman" w:eastAsia="仿宋_GB2312" w:cs="Times New Roman"/>
          <w:sz w:val="32"/>
          <w:szCs w:val="32"/>
        </w:rPr>
        <w:t>万元，其中：</w:t>
      </w:r>
    </w:p>
    <w:p>
      <w:pPr>
        <w:adjustRightInd w:val="0"/>
        <w:snapToGrid w:val="0"/>
        <w:spacing w:line="600" w:lineRule="exact"/>
        <w:ind w:firstLine="640" w:firstLineChars="200"/>
        <w:rPr>
          <w:rFonts w:hint="eastAsia"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color w:val="000000"/>
          <w:kern w:val="0"/>
          <w:sz w:val="32"/>
          <w:szCs w:val="32"/>
          <w:lang w:val="en-US" w:eastAsia="zh-CN" w:bidi="ar-SA"/>
        </w:rPr>
        <w:t>58.59</w:t>
      </w:r>
      <w:r>
        <w:rPr>
          <w:rFonts w:ascii="Times New Roman" w:hAnsi="Times New Roman" w:eastAsia="仿宋_GB2312" w:cs="Times New Roman"/>
          <w:color w:val="000000"/>
          <w:kern w:val="0"/>
          <w:sz w:val="32"/>
          <w:szCs w:val="32"/>
          <w:lang w:val="en-US" w:eastAsia="zh-CN" w:bidi="ar-SA"/>
        </w:rPr>
        <w:t>万元，占基本支出的</w:t>
      </w:r>
      <w:r>
        <w:rPr>
          <w:rFonts w:hint="eastAsia" w:ascii="Times New Roman" w:hAnsi="Times New Roman" w:eastAsia="仿宋_GB2312" w:cs="Times New Roman"/>
          <w:color w:val="000000"/>
          <w:kern w:val="0"/>
          <w:sz w:val="32"/>
          <w:szCs w:val="32"/>
          <w:lang w:val="en-US" w:eastAsia="zh-CN" w:bidi="ar-SA"/>
        </w:rPr>
        <w:t>76.39</w:t>
      </w:r>
      <w:r>
        <w:rPr>
          <w:rFonts w:ascii="Times New Roman" w:hAnsi="Times New Roman" w:eastAsia="仿宋_GB2312" w:cs="Times New Roman"/>
          <w:color w:val="000000"/>
          <w:kern w:val="0"/>
          <w:sz w:val="32"/>
          <w:szCs w:val="32"/>
          <w:lang w:val="en-US" w:eastAsia="zh-CN" w:bidi="ar-SA"/>
        </w:rPr>
        <w:t>%,主要包括</w:t>
      </w:r>
      <w:r>
        <w:rPr>
          <w:rFonts w:hint="eastAsia" w:ascii="Times New Roman" w:hAnsi="Times New Roman" w:eastAsia="仿宋_GB2312" w:cs="Times New Roman"/>
          <w:color w:val="000000"/>
          <w:kern w:val="0"/>
          <w:sz w:val="32"/>
          <w:szCs w:val="32"/>
          <w:lang w:val="en-US" w:eastAsia="zh-CN" w:bidi="ar-SA"/>
        </w:rPr>
        <w:t>：基本工资28.47万元，津贴补贴10.92万元，奖金2.11万元，绩效工资8.92万元。养老保险支出5.40万元，医疗保险支出2.80万元，对个人和家庭的补助0.27。</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10.16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23.61</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lang w:val="en-US" w:eastAsia="zh-CN"/>
        </w:rPr>
        <w:t>劳务费、工会经费、其他交通费、其他商品和服务支出等</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highlight w:val="yellow"/>
          <w:lang w:val="en-US"/>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0.30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0.32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%。决算数小于预算数的主要原因是</w:t>
      </w:r>
      <w:r>
        <w:rPr>
          <w:rFonts w:ascii="仿宋" w:hAnsi="仿宋" w:eastAsia="仿宋" w:cs="仿宋"/>
          <w:spacing w:val="-4"/>
          <w:sz w:val="32"/>
          <w:szCs w:val="32"/>
        </w:rPr>
        <w:t>厉行节约，接待</w:t>
      </w:r>
      <w:r>
        <w:rPr>
          <w:rFonts w:ascii="仿宋" w:hAnsi="仿宋" w:eastAsia="仿宋" w:cs="仿宋"/>
          <w:spacing w:val="-1"/>
          <w:sz w:val="32"/>
          <w:szCs w:val="32"/>
        </w:rPr>
        <w:t>规模</w:t>
      </w:r>
      <w:r>
        <w:rPr>
          <w:rFonts w:hint="eastAsia" w:ascii="仿宋" w:hAnsi="仿宋" w:eastAsia="仿宋" w:cs="仿宋"/>
          <w:spacing w:val="-1"/>
          <w:sz w:val="32"/>
          <w:szCs w:val="32"/>
          <w:lang w:val="en-US" w:eastAsia="zh-CN"/>
        </w:rPr>
        <w:t>为0，本单位无公务用车。</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。其中：</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持平。</w:t>
      </w:r>
    </w:p>
    <w:p>
      <w:pPr>
        <w:pStyle w:val="12"/>
        <w:overflowPunct w:val="0"/>
        <w:autoSpaceDE/>
        <w:autoSpaceDN/>
        <w:spacing w:line="600" w:lineRule="exact"/>
        <w:ind w:firstLine="640" w:firstLineChars="200"/>
        <w:jc w:val="both"/>
        <w:rPr>
          <w:rFonts w:hint="eastAsia" w:ascii="Times New Roman" w:hAnsi="Times New Roman" w:eastAsia="仿宋_GB2312" w:cs="Times New Roman"/>
          <w:b/>
          <w:bCs/>
          <w:i/>
          <w:sz w:val="32"/>
          <w:szCs w:val="32"/>
          <w:lang w:eastAsia="zh-CN"/>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0.30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0.32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%。决算数小于预算数的主要原因是</w:t>
      </w:r>
      <w:r>
        <w:rPr>
          <w:rFonts w:ascii="仿宋" w:hAnsi="仿宋" w:eastAsia="仿宋" w:cs="仿宋"/>
          <w:spacing w:val="-4"/>
          <w:sz w:val="32"/>
          <w:szCs w:val="32"/>
        </w:rPr>
        <w:t>厉行节约，接待</w:t>
      </w:r>
      <w:r>
        <w:rPr>
          <w:rFonts w:ascii="仿宋" w:hAnsi="仿宋" w:eastAsia="仿宋" w:cs="仿宋"/>
          <w:spacing w:val="-1"/>
          <w:sz w:val="32"/>
          <w:szCs w:val="32"/>
        </w:rPr>
        <w:t>规模</w:t>
      </w:r>
      <w:r>
        <w:rPr>
          <w:rFonts w:hint="eastAsia" w:ascii="仿宋" w:hAnsi="仿宋" w:eastAsia="仿宋" w:cs="仿宋"/>
          <w:spacing w:val="-1"/>
          <w:sz w:val="32"/>
          <w:szCs w:val="32"/>
          <w:lang w:val="en-US" w:eastAsia="zh-CN"/>
        </w:rPr>
        <w:t>为0</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spacing w:before="257" w:line="220" w:lineRule="auto"/>
        <w:ind w:left="654"/>
        <w:rPr>
          <w:rFonts w:ascii="仿宋" w:hAnsi="仿宋" w:eastAsia="仿宋" w:cs="仿宋"/>
          <w:sz w:val="32"/>
          <w:szCs w:val="32"/>
        </w:rPr>
      </w:pPr>
      <w:r>
        <w:rPr>
          <w:rFonts w:ascii="仿宋" w:hAnsi="仿宋" w:eastAsia="仿宋" w:cs="仿宋"/>
          <w:spacing w:val="-4"/>
          <w:sz w:val="32"/>
          <w:szCs w:val="32"/>
        </w:rPr>
        <w:t>202</w:t>
      </w:r>
      <w:r>
        <w:rPr>
          <w:rFonts w:hint="eastAsia" w:ascii="仿宋" w:hAnsi="仿宋" w:eastAsia="仿宋" w:cs="仿宋"/>
          <w:spacing w:val="-4"/>
          <w:sz w:val="32"/>
          <w:szCs w:val="32"/>
          <w:lang w:val="en-US" w:eastAsia="zh-CN"/>
        </w:rPr>
        <w:t>5</w:t>
      </w:r>
      <w:r>
        <w:rPr>
          <w:rFonts w:ascii="仿宋" w:hAnsi="仿宋" w:eastAsia="仿宋" w:cs="仿宋"/>
          <w:spacing w:val="-4"/>
          <w:sz w:val="32"/>
          <w:szCs w:val="32"/>
        </w:rPr>
        <w:t>年度未发生政府性基金预算财政拨款收支。</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10.16</w:t>
      </w:r>
      <w:r>
        <w:rPr>
          <w:rFonts w:ascii="Times New Roman" w:hAnsi="Times New Roman" w:eastAsia="仿宋_GB2312" w:cs="Times New Roman"/>
          <w:sz w:val="32"/>
          <w:szCs w:val="32"/>
        </w:rPr>
        <w:t>万元，比上年决算数增加</w:t>
      </w:r>
      <w:r>
        <w:rPr>
          <w:rFonts w:hint="eastAsia" w:ascii="Times New Roman" w:hAnsi="Times New Roman" w:eastAsia="仿宋_GB2312" w:cs="Times New Roman"/>
          <w:sz w:val="32"/>
          <w:szCs w:val="32"/>
          <w:lang w:val="en-US" w:eastAsia="zh-CN"/>
        </w:rPr>
        <w:t>0.24</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0.24</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其他交通费增加</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人；开支培训费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r>
        <w:rPr>
          <w:rFonts w:ascii="Times New Roman" w:hAnsi="Times New Roman" w:cs="Times New Roman"/>
          <w:bCs/>
          <w:color w:val="auto"/>
          <w:sz w:val="32"/>
          <w:szCs w:val="32"/>
        </w:rPr>
        <w:t>十二、关于国有资产占用情况说明</w:t>
      </w:r>
    </w:p>
    <w:p>
      <w:pPr>
        <w:pStyle w:val="12"/>
        <w:overflowPunct w:val="0"/>
        <w:autoSpaceDE/>
        <w:autoSpaceDN/>
        <w:spacing w:line="600" w:lineRule="exact"/>
        <w:ind w:firstLine="640" w:firstLineChars="200"/>
        <w:jc w:val="both"/>
        <w:rPr>
          <w:rFonts w:ascii="Times New Roman" w:hAnsi="Times New Roman" w:eastAsia="仿宋_GB2312" w:cs="Times New Roman"/>
          <w:bCs/>
          <w:color w:val="auto"/>
          <w:kern w:val="0"/>
          <w:sz w:val="32"/>
          <w:szCs w:val="32"/>
          <w:lang w:val="en-US" w:eastAsia="zh-CN" w:bidi="ar-SA"/>
        </w:rPr>
      </w:pPr>
      <w:r>
        <w:rPr>
          <w:rFonts w:ascii="Times New Roman" w:hAnsi="Times New Roman" w:eastAsia="仿宋_GB2312" w:cs="Times New Roman"/>
          <w:bCs/>
          <w:color w:val="auto"/>
          <w:kern w:val="0"/>
          <w:sz w:val="32"/>
          <w:szCs w:val="32"/>
          <w:lang w:val="en-US" w:eastAsia="zh-CN" w:bidi="ar-SA"/>
        </w:rPr>
        <w:t>截至202</w:t>
      </w:r>
      <w:r>
        <w:rPr>
          <w:rFonts w:hint="eastAsia" w:ascii="Times New Roman" w:hAnsi="Times New Roman" w:eastAsia="仿宋_GB2312" w:cs="Times New Roman"/>
          <w:bCs/>
          <w:color w:val="auto"/>
          <w:kern w:val="0"/>
          <w:sz w:val="32"/>
          <w:szCs w:val="32"/>
          <w:lang w:val="en-US" w:eastAsia="zh-CN" w:bidi="ar-SA"/>
        </w:rPr>
        <w:t>5</w:t>
      </w:r>
      <w:r>
        <w:rPr>
          <w:rFonts w:ascii="Times New Roman" w:hAnsi="Times New Roman" w:eastAsia="仿宋_GB2312" w:cs="Times New Roman"/>
          <w:bCs/>
          <w:color w:val="auto"/>
          <w:kern w:val="0"/>
          <w:sz w:val="32"/>
          <w:szCs w:val="32"/>
          <w:lang w:val="en-US" w:eastAsia="zh-CN" w:bidi="ar-SA"/>
        </w:rPr>
        <w:t>年12月31日，部门（单位）共有车辆</w:t>
      </w:r>
      <w:r>
        <w:rPr>
          <w:rFonts w:hint="eastAsia" w:ascii="Times New Roman" w:hAnsi="Times New Roman" w:eastAsia="仿宋_GB2312" w:cs="Times New Roman"/>
          <w:bCs/>
          <w:color w:val="auto"/>
          <w:kern w:val="0"/>
          <w:sz w:val="32"/>
          <w:szCs w:val="32"/>
          <w:lang w:val="en-US" w:eastAsia="zh-CN" w:bidi="ar-SA"/>
        </w:rPr>
        <w:t>0</w:t>
      </w:r>
      <w:r>
        <w:rPr>
          <w:rFonts w:ascii="Times New Roman" w:hAnsi="Times New Roman" w:eastAsia="仿宋_GB2312" w:cs="Times New Roman"/>
          <w:bCs/>
          <w:color w:val="auto"/>
          <w:kern w:val="0"/>
          <w:sz w:val="32"/>
          <w:szCs w:val="32"/>
          <w:lang w:val="en-US" w:eastAsia="zh-CN" w:bidi="ar-SA"/>
        </w:rPr>
        <w:t>辆，其中，副部（省）级及以上领导用车</w:t>
      </w:r>
      <w:r>
        <w:rPr>
          <w:rFonts w:hint="eastAsia" w:ascii="Times New Roman" w:hAnsi="Times New Roman" w:eastAsia="仿宋_GB2312" w:cs="Times New Roman"/>
          <w:bCs/>
          <w:color w:val="auto"/>
          <w:kern w:val="0"/>
          <w:sz w:val="32"/>
          <w:szCs w:val="32"/>
          <w:lang w:val="en-US" w:eastAsia="zh-CN" w:bidi="ar-SA"/>
        </w:rPr>
        <w:t>0</w:t>
      </w:r>
      <w:r>
        <w:rPr>
          <w:rFonts w:ascii="Times New Roman" w:hAnsi="Times New Roman" w:eastAsia="仿宋_GB2312" w:cs="Times New Roman"/>
          <w:bCs/>
          <w:color w:val="auto"/>
          <w:kern w:val="0"/>
          <w:sz w:val="32"/>
          <w:szCs w:val="32"/>
          <w:lang w:val="en-US" w:eastAsia="zh-CN" w:bidi="ar-SA"/>
        </w:rPr>
        <w:t>辆、主要负责人用车</w:t>
      </w:r>
      <w:r>
        <w:rPr>
          <w:rFonts w:hint="eastAsia" w:ascii="Times New Roman" w:hAnsi="Times New Roman" w:eastAsia="仿宋_GB2312" w:cs="Times New Roman"/>
          <w:bCs/>
          <w:color w:val="auto"/>
          <w:kern w:val="0"/>
          <w:sz w:val="32"/>
          <w:szCs w:val="32"/>
          <w:lang w:val="en-US" w:eastAsia="zh-CN" w:bidi="ar-SA"/>
        </w:rPr>
        <w:t>0</w:t>
      </w:r>
      <w:r>
        <w:rPr>
          <w:rFonts w:ascii="Times New Roman" w:hAnsi="Times New Roman" w:eastAsia="仿宋_GB2312" w:cs="Times New Roman"/>
          <w:bCs/>
          <w:color w:val="auto"/>
          <w:kern w:val="0"/>
          <w:sz w:val="32"/>
          <w:szCs w:val="32"/>
          <w:lang w:val="en-US" w:eastAsia="zh-CN" w:bidi="ar-SA"/>
        </w:rPr>
        <w:t>辆、机要通信用车</w:t>
      </w:r>
      <w:r>
        <w:rPr>
          <w:rFonts w:hint="eastAsia" w:ascii="Times New Roman" w:hAnsi="Times New Roman" w:eastAsia="仿宋_GB2312" w:cs="Times New Roman"/>
          <w:bCs/>
          <w:color w:val="auto"/>
          <w:kern w:val="0"/>
          <w:sz w:val="32"/>
          <w:szCs w:val="32"/>
          <w:lang w:val="en-US" w:eastAsia="zh-CN" w:bidi="ar-SA"/>
        </w:rPr>
        <w:t>0</w:t>
      </w:r>
      <w:r>
        <w:rPr>
          <w:rFonts w:ascii="Times New Roman" w:hAnsi="Times New Roman" w:eastAsia="仿宋_GB2312" w:cs="Times New Roman"/>
          <w:bCs/>
          <w:color w:val="auto"/>
          <w:kern w:val="0"/>
          <w:sz w:val="32"/>
          <w:szCs w:val="32"/>
          <w:lang w:val="en-US" w:eastAsia="zh-CN" w:bidi="ar-SA"/>
        </w:rPr>
        <w:t>辆、应急保障用车</w:t>
      </w:r>
      <w:r>
        <w:rPr>
          <w:rFonts w:hint="eastAsia" w:ascii="Times New Roman" w:hAnsi="Times New Roman" w:eastAsia="仿宋_GB2312" w:cs="Times New Roman"/>
          <w:bCs/>
          <w:color w:val="auto"/>
          <w:kern w:val="0"/>
          <w:sz w:val="32"/>
          <w:szCs w:val="32"/>
          <w:lang w:val="en-US" w:eastAsia="zh-CN" w:bidi="ar-SA"/>
        </w:rPr>
        <w:t>0</w:t>
      </w:r>
      <w:r>
        <w:rPr>
          <w:rFonts w:ascii="Times New Roman" w:hAnsi="Times New Roman" w:eastAsia="仿宋_GB2312" w:cs="Times New Roman"/>
          <w:bCs/>
          <w:color w:val="auto"/>
          <w:kern w:val="0"/>
          <w:sz w:val="32"/>
          <w:szCs w:val="32"/>
          <w:lang w:val="en-US" w:eastAsia="zh-CN" w:bidi="ar-SA"/>
        </w:rPr>
        <w:t>辆、执法执勤用车</w:t>
      </w:r>
      <w:r>
        <w:rPr>
          <w:rFonts w:hint="eastAsia" w:ascii="Times New Roman" w:hAnsi="Times New Roman" w:eastAsia="仿宋_GB2312" w:cs="Times New Roman"/>
          <w:bCs/>
          <w:color w:val="auto"/>
          <w:kern w:val="0"/>
          <w:sz w:val="32"/>
          <w:szCs w:val="32"/>
          <w:lang w:val="en-US" w:eastAsia="zh-CN" w:bidi="ar-SA"/>
        </w:rPr>
        <w:t>0</w:t>
      </w:r>
      <w:r>
        <w:rPr>
          <w:rFonts w:ascii="Times New Roman" w:hAnsi="Times New Roman" w:eastAsia="仿宋_GB2312" w:cs="Times New Roman"/>
          <w:bCs/>
          <w:color w:val="auto"/>
          <w:kern w:val="0"/>
          <w:sz w:val="32"/>
          <w:szCs w:val="32"/>
          <w:lang w:val="en-US" w:eastAsia="zh-CN" w:bidi="ar-SA"/>
        </w:rPr>
        <w:t>辆、特种专业技术用车</w:t>
      </w:r>
      <w:r>
        <w:rPr>
          <w:rFonts w:hint="eastAsia" w:ascii="Times New Roman" w:hAnsi="Times New Roman" w:eastAsia="仿宋_GB2312" w:cs="Times New Roman"/>
          <w:bCs/>
          <w:color w:val="auto"/>
          <w:kern w:val="0"/>
          <w:sz w:val="32"/>
          <w:szCs w:val="32"/>
          <w:lang w:val="en-US" w:eastAsia="zh-CN" w:bidi="ar-SA"/>
        </w:rPr>
        <w:t>0</w:t>
      </w:r>
      <w:r>
        <w:rPr>
          <w:rFonts w:ascii="Times New Roman" w:hAnsi="Times New Roman" w:eastAsia="仿宋_GB2312" w:cs="Times New Roman"/>
          <w:bCs/>
          <w:color w:val="auto"/>
          <w:kern w:val="0"/>
          <w:sz w:val="32"/>
          <w:szCs w:val="32"/>
          <w:lang w:val="en-US" w:eastAsia="zh-CN" w:bidi="ar-SA"/>
        </w:rPr>
        <w:t>辆、离退休干部服务用车</w:t>
      </w:r>
      <w:r>
        <w:rPr>
          <w:rFonts w:hint="eastAsia" w:ascii="Times New Roman" w:hAnsi="Times New Roman" w:eastAsia="仿宋_GB2312" w:cs="Times New Roman"/>
          <w:bCs/>
          <w:color w:val="auto"/>
          <w:kern w:val="0"/>
          <w:sz w:val="32"/>
          <w:szCs w:val="32"/>
          <w:lang w:val="en-US" w:eastAsia="zh-CN" w:bidi="ar-SA"/>
        </w:rPr>
        <w:t>0</w:t>
      </w:r>
      <w:r>
        <w:rPr>
          <w:rFonts w:ascii="Times New Roman" w:hAnsi="Times New Roman" w:eastAsia="仿宋_GB2312" w:cs="Times New Roman"/>
          <w:bCs/>
          <w:color w:val="auto"/>
          <w:kern w:val="0"/>
          <w:sz w:val="32"/>
          <w:szCs w:val="32"/>
          <w:lang w:val="en-US" w:eastAsia="zh-CN" w:bidi="ar-SA"/>
        </w:rPr>
        <w:t>辆、其他用车</w:t>
      </w:r>
      <w:r>
        <w:rPr>
          <w:rFonts w:hint="eastAsia" w:ascii="Times New Roman" w:hAnsi="Times New Roman" w:eastAsia="仿宋_GB2312" w:cs="Times New Roman"/>
          <w:bCs/>
          <w:color w:val="auto"/>
          <w:kern w:val="0"/>
          <w:sz w:val="32"/>
          <w:szCs w:val="32"/>
          <w:lang w:val="en-US" w:eastAsia="zh-CN" w:bidi="ar-SA"/>
        </w:rPr>
        <w:t>0</w:t>
      </w:r>
      <w:r>
        <w:rPr>
          <w:rFonts w:ascii="Times New Roman" w:hAnsi="Times New Roman" w:eastAsia="仿宋_GB2312" w:cs="Times New Roman"/>
          <w:bCs/>
          <w:color w:val="auto"/>
          <w:kern w:val="0"/>
          <w:sz w:val="32"/>
          <w:szCs w:val="32"/>
          <w:lang w:val="en-US" w:eastAsia="zh-CN" w:bidi="ar-SA"/>
        </w:rPr>
        <w:t>辆；单位价值100万元以上设备（不含车辆）</w:t>
      </w:r>
      <w:r>
        <w:rPr>
          <w:rFonts w:hint="eastAsia" w:ascii="Times New Roman" w:hAnsi="Times New Roman" w:eastAsia="仿宋_GB2312" w:cs="Times New Roman"/>
          <w:bCs/>
          <w:color w:val="auto"/>
          <w:kern w:val="0"/>
          <w:sz w:val="32"/>
          <w:szCs w:val="32"/>
          <w:lang w:val="en-US" w:eastAsia="zh-CN" w:bidi="ar-SA"/>
        </w:rPr>
        <w:t>0</w:t>
      </w:r>
      <w:r>
        <w:rPr>
          <w:rFonts w:ascii="Times New Roman" w:hAnsi="Times New Roman" w:eastAsia="仿宋_GB2312" w:cs="Times New Roman"/>
          <w:bCs/>
          <w:color w:val="auto"/>
          <w:kern w:val="0"/>
          <w:sz w:val="32"/>
          <w:szCs w:val="32"/>
          <w:lang w:val="en-US" w:eastAsia="zh-CN" w:bidi="ar-SA"/>
        </w:rPr>
        <w:t>台（套）。</w:t>
      </w:r>
    </w:p>
    <w:p>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77.10</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77.10</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宋体" w:hAnsi="宋体"/>
          <w:sz w:val="32"/>
          <w:szCs w:val="32"/>
          <w:lang w:val="en-US" w:eastAsia="zh-CN"/>
        </w:rPr>
        <w:t>永州市第八届京剧艺术节活动经费、</w:t>
      </w:r>
      <w:r>
        <w:rPr>
          <w:rFonts w:hint="eastAsia" w:ascii="仿宋_GB2312" w:hAnsi="仿宋_GB2312" w:eastAsia="仿宋_GB2312" w:cs="仿宋_GB2312"/>
          <w:bCs/>
          <w:sz w:val="32"/>
          <w:szCs w:val="32"/>
        </w:rPr>
        <w:t>《濂溪》等杂志办刊经费</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lang w:val="en-US" w:eastAsia="zh-CN"/>
        </w:rPr>
        <w:t>2025年春联艺术“百千万”光大工程活动经费共</w:t>
      </w: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sz w:val="32"/>
          <w:szCs w:val="32"/>
          <w:lang w:val="en-US" w:eastAsia="zh-CN"/>
        </w:rPr>
        <w:t>8.05</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三是事前绩效评估开展情况（如有，一级预算部门填写）。</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个新增重大政策和</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个重大项目开展事前绩效评估，共涉及资金</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p>
    <w:p>
      <w:pPr>
        <w:overflowPunct w:val="0"/>
        <w:spacing w:line="600" w:lineRule="exact"/>
        <w:ind w:firstLine="640" w:firstLineChars="200"/>
        <w:rPr>
          <w:rFonts w:hint="eastAsia" w:ascii="仿宋_GB2312" w:hAnsi="仿宋_GB2312" w:eastAsia="仿宋_GB2312" w:cs="仿宋_GB2312"/>
          <w:bCs/>
          <w:sz w:val="32"/>
          <w:szCs w:val="32"/>
          <w:lang w:val="en-US" w:eastAsia="zh-CN"/>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hint="eastAsia" w:ascii="仿宋_GB2312" w:hAnsi="仿宋_GB2312" w:eastAsia="仿宋_GB2312" w:cs="仿宋_GB2312"/>
          <w:bCs/>
          <w:sz w:val="32"/>
          <w:szCs w:val="32"/>
          <w:lang w:val="en-US" w:eastAsia="zh-CN"/>
        </w:rPr>
        <w:t>2025年度本部门（单位）整体支出全年预算数67.88万元，执行数77.10万元，完成预算的114.91%，绩效自评得分93分，评价等级为“覆二级”。绩效目标完成情况：一是文艺活动：品牌引领聚民心，文旅融合显活力。聚焦重要节点与地域特色，策划开展系列主题鲜明的文艺活动，累计组织活动15场，服务群众超3万人次。二是文艺宣传：多维传播强影响，文化名片亮底色。构建“线上 + 线下”宣传矩阵，全方位展现道县文艺风采与文化底蕴，累计发布宣传内容30余条，总传播量超50万人次。三是文艺创作：深耕特色出精品，红色文脉润初心。围绕红色文化、传统文化、时代发展三大主题，引导文艺工作者深入创作，涌现各类作品150余件，体裁涵盖剧本、诗词、书画等。四是文艺获奖：精品角逐获佳绩，品牌效应再提升。积极组织作品参与各级赛事评选，凭借扎实的创作功底与鲜明的地域特色斩获多项荣誉，彰显道县文艺实力。</w:t>
      </w:r>
    </w:p>
    <w:p>
      <w:pPr>
        <w:overflowPunct w:val="0"/>
        <w:spacing w:line="600" w:lineRule="exact"/>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发现的主要问题及原因：一是财务核算有待进一步规范；二是公务接待方面有待进一步完善；三是电子卖场采购制度有待建全。</w:t>
      </w:r>
    </w:p>
    <w:p>
      <w:pPr>
        <w:overflowPunct w:val="0"/>
        <w:spacing w:line="600" w:lineRule="exact"/>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下一步改进措施：一是财务核算有待进一步规范；二是公务接待方面有待进一步完善；三是电子卖场采购制度有待建全；四是健全制度，加强内部管理。</w:t>
      </w:r>
    </w:p>
    <w:p>
      <w:pPr>
        <w:overflowPunct w:val="0"/>
        <w:spacing w:line="600" w:lineRule="exact"/>
        <w:ind w:firstLine="640" w:firstLineChars="200"/>
        <w:rPr>
          <w:rFonts w:ascii="Times New Roman" w:hAnsi="Times New Roman" w:eastAsia="仿宋_GB2312" w:cs="Times New Roman"/>
          <w:b/>
          <w:bCs/>
          <w:kern w:val="0"/>
          <w:sz w:val="32"/>
          <w:szCs w:val="32"/>
        </w:rPr>
      </w:pPr>
      <w:r>
        <w:rPr>
          <w:rFonts w:ascii="Times New Roman" w:hAnsi="Times New Roman" w:eastAsia="仿宋_GB2312" w:cs="Times New Roman"/>
          <w:b/>
          <w:bCs/>
          <w:kern w:val="0"/>
          <w:sz w:val="32"/>
          <w:szCs w:val="32"/>
        </w:rPr>
        <w:t>二是部门评价结果。</w:t>
      </w:r>
    </w:p>
    <w:p>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仿宋_GB2312" w:cs="Times New Roman"/>
          <w:b/>
          <w:bCs/>
          <w:kern w:val="0"/>
          <w:sz w:val="32"/>
          <w:szCs w:val="32"/>
        </w:rPr>
        <w:t>三是事前绩效评估结果。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个重大项目事前绩效评估，其中，</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个项目评估通过，涉及资金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个项目评估不通过，涉及资金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p>
    <w:p>
      <w:pPr>
        <w:pStyle w:val="12"/>
        <w:overflowPunct w:val="0"/>
        <w:autoSpaceDE/>
        <w:autoSpaceDN/>
        <w:spacing w:line="600" w:lineRule="exact"/>
        <w:ind w:firstLine="640" w:firstLineChars="200"/>
        <w:jc w:val="both"/>
        <w:rPr>
          <w:rFonts w:ascii="Times New Roman" w:hAnsi="Times New Roman" w:eastAsia="仿宋_GB2312" w:cs="Times New Roman"/>
          <w:color w:val="auto"/>
          <w:sz w:val="72"/>
          <w:szCs w:val="72"/>
        </w:rPr>
      </w:pPr>
      <w:r>
        <w:rPr>
          <w:rFonts w:ascii="Times New Roman" w:hAnsi="Times New Roman" w:eastAsia="楷体_GB2312" w:cs="Times New Roman"/>
          <w:b/>
          <w:bCs/>
          <w:color w:val="auto"/>
          <w:kern w:val="2"/>
          <w:sz w:val="32"/>
          <w:szCs w:val="32"/>
        </w:rPr>
        <w:t>（三）评价结果应用情况。</w:t>
      </w:r>
      <w:r>
        <w:rPr>
          <w:rFonts w:ascii="Times New Roman" w:hAnsi="Times New Roman" w:eastAsia="仿宋_GB2312" w:cs="Times New Roman"/>
          <w:color w:val="auto"/>
          <w:sz w:val="32"/>
          <w:szCs w:val="32"/>
        </w:rPr>
        <w:t>请根据202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年度绩效自评结果、部门评价结果、财政评价结果对本部门2025年度预算安排，支出结构调整，资金管理，制度建设等方面结果运用进行简要说明。</w:t>
      </w:r>
    </w:p>
    <w:p>
      <w:pPr>
        <w:pStyle w:val="12"/>
        <w:jc w:val="both"/>
        <w:rPr>
          <w:rFonts w:ascii="Times New Roman" w:hAnsi="Times New Roman" w:cs="Times New Roman"/>
          <w:sz w:val="72"/>
          <w:szCs w:val="72"/>
        </w:rPr>
      </w:pPr>
    </w:p>
    <w:p>
      <w:pPr>
        <w:pStyle w:val="12"/>
        <w:spacing w:line="360" w:lineRule="auto"/>
        <w:jc w:val="center"/>
        <w:rPr>
          <w:rFonts w:cs="黑体" w:asciiTheme="minorEastAsia" w:hAnsiTheme="minorEastAsia"/>
          <w:color w:val="000000"/>
          <w:kern w:val="0"/>
          <w:sz w:val="32"/>
          <w:szCs w:val="32"/>
        </w:rPr>
      </w:pPr>
      <w:r>
        <w:rPr>
          <w:rFonts w:hint="eastAsia" w:ascii="Times New Roman" w:hAnsi="Times New Roman" w:eastAsia="方正小标宋_GBK" w:cs="Times New Roman"/>
          <w:kern w:val="0"/>
          <w:sz w:val="52"/>
          <w:szCs w:val="52"/>
        </w:rPr>
        <w:t>第四部分</w:t>
      </w:r>
      <w:r>
        <w:rPr>
          <w:rFonts w:hint="eastAsia" w:ascii="Times New Roman" w:hAnsi="Times New Roman" w:eastAsia="方正小标宋_GBK" w:cs="Times New Roman"/>
          <w:kern w:val="0"/>
          <w:sz w:val="52"/>
          <w:szCs w:val="52"/>
          <w:lang w:val="en-US" w:eastAsia="zh-CN"/>
        </w:rPr>
        <w:t xml:space="preserve">  </w:t>
      </w:r>
      <w:r>
        <w:rPr>
          <w:rFonts w:hint="eastAsia" w:ascii="Times New Roman" w:hAnsi="Times New Roman" w:eastAsia="方正小标宋_GBK" w:cs="Times New Roman"/>
          <w:kern w:val="0"/>
          <w:sz w:val="52"/>
          <w:szCs w:val="52"/>
        </w:rPr>
        <w:t>名词解释</w:t>
      </w:r>
    </w:p>
    <w:p>
      <w:pPr>
        <w:pStyle w:val="12"/>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1．财政拨款收入：指单位本年度从同级财政部门取得的各类财政拨款。</w:t>
      </w:r>
    </w:p>
    <w:p>
      <w:pPr>
        <w:pStyle w:val="12"/>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2．机关运行经费：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pPr>
        <w:pStyle w:val="12"/>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3．事业收入：指事业单位开展专业业务活动及其辅助活动取得的收入，事业单位收到的财政专户实际核拨的教育收费等资金在此反映。</w:t>
      </w:r>
    </w:p>
    <w:p>
      <w:pPr>
        <w:pStyle w:val="12"/>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4．经营收入：指事业单位在专业业务活动及其辅助活动之外开展非独立核算经营活动取得的收入。</w:t>
      </w:r>
    </w:p>
    <w:p>
      <w:pPr>
        <w:pStyle w:val="12"/>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5．附属单位上缴收入：指事业单位附属独立核算单位按照有关规定上缴的收入。</w:t>
      </w:r>
    </w:p>
    <w:p>
      <w:pPr>
        <w:pStyle w:val="12"/>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6．其他收入：指单位取得的除上述“财政拨款收入”、“事业收入”、“经营收入”等以外的各项收入。</w:t>
      </w:r>
    </w:p>
    <w:p>
      <w:pPr>
        <w:pStyle w:val="12"/>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7．使用非财政拨款结余：指事业单位使用非财政拨款结余（原事业基金）弥补当年收支差额的数额。</w:t>
      </w:r>
    </w:p>
    <w:p>
      <w:pPr>
        <w:pStyle w:val="12"/>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8．年初结转和结余：指单位上年结转本年使用的基本支出结转、项目支出结转和结余和经营结余。</w:t>
      </w:r>
    </w:p>
    <w:p>
      <w:pPr>
        <w:pStyle w:val="12"/>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9．结余分配：指事业单位按规定对非财政拨款结余资金提取的专用基金、缴纳的所得税和转入非财政拨款结余等。</w:t>
      </w:r>
    </w:p>
    <w:p>
      <w:pPr>
        <w:pStyle w:val="12"/>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10．年末结转和结余资金：指本年度或以前年度预算安排、因客观条件发生变化无法按原计划实施，需要延迟到以后年度按有关规定继续使用的资金。</w:t>
      </w:r>
    </w:p>
    <w:p>
      <w:pPr>
        <w:pStyle w:val="12"/>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ab/>
      </w:r>
      <w:r>
        <w:rPr>
          <w:rFonts w:hint="eastAsia" w:ascii="Times New Roman" w:hAnsi="Times New Roman" w:eastAsia="仿宋_GB2312" w:cs="Times New Roman"/>
          <w:color w:val="auto"/>
          <w:sz w:val="32"/>
          <w:szCs w:val="32"/>
          <w:lang w:val="en-US" w:eastAsia="zh-CN"/>
        </w:rPr>
        <w:t>11．基本支出：指为保障机构正常运转、完成日常工作任务而发生的支出，包括人员经费和公用经费。</w:t>
      </w:r>
    </w:p>
    <w:p>
      <w:pPr>
        <w:pStyle w:val="12"/>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ab/>
      </w:r>
      <w:r>
        <w:rPr>
          <w:rFonts w:hint="eastAsia" w:ascii="Times New Roman" w:hAnsi="Times New Roman" w:eastAsia="仿宋_GB2312" w:cs="Times New Roman"/>
          <w:color w:val="auto"/>
          <w:sz w:val="32"/>
          <w:szCs w:val="32"/>
          <w:lang w:val="en-US" w:eastAsia="zh-CN"/>
        </w:rPr>
        <w:t>12．项目支出：指在为完成特定的工作任务和事业发展目标所发生的支出。</w:t>
      </w:r>
    </w:p>
    <w:p>
      <w:pPr>
        <w:pStyle w:val="12"/>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ab/>
      </w:r>
      <w:r>
        <w:rPr>
          <w:rFonts w:hint="eastAsia" w:ascii="Times New Roman" w:hAnsi="Times New Roman" w:eastAsia="仿宋_GB2312" w:cs="Times New Roman"/>
          <w:color w:val="auto"/>
          <w:sz w:val="32"/>
          <w:szCs w:val="32"/>
          <w:lang w:val="en-US" w:eastAsia="zh-CN"/>
        </w:rPr>
        <w:t>13．上缴上级支出：指事业单位按照财政部门和主管部门的规定上缴上级单位的支出。</w:t>
      </w:r>
    </w:p>
    <w:p>
      <w:pPr>
        <w:pStyle w:val="12"/>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ab/>
      </w:r>
      <w:r>
        <w:rPr>
          <w:rFonts w:hint="eastAsia" w:ascii="Times New Roman" w:hAnsi="Times New Roman" w:eastAsia="仿宋_GB2312" w:cs="Times New Roman"/>
          <w:color w:val="auto"/>
          <w:sz w:val="32"/>
          <w:szCs w:val="32"/>
          <w:lang w:val="en-US" w:eastAsia="zh-CN"/>
        </w:rPr>
        <w:t>14．经营支出：指事业单位在专业业务活动及其辅助活动之外开展非独立核算经营活动发生的支出。</w:t>
      </w:r>
    </w:p>
    <w:p>
      <w:pPr>
        <w:pStyle w:val="12"/>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ab/>
      </w:r>
      <w:r>
        <w:rPr>
          <w:rFonts w:hint="eastAsia" w:ascii="Times New Roman" w:hAnsi="Times New Roman" w:eastAsia="仿宋_GB2312" w:cs="Times New Roman"/>
          <w:color w:val="auto"/>
          <w:sz w:val="32"/>
          <w:szCs w:val="32"/>
          <w:lang w:val="en-US" w:eastAsia="zh-CN"/>
        </w:rPr>
        <w:t>15．对附属单位补助支出：指事业单位用财政拨款收入之外的收入对附属单位补助发生的支出。</w:t>
      </w:r>
    </w:p>
    <w:p>
      <w:pPr>
        <w:pStyle w:val="12"/>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ab/>
      </w:r>
      <w:r>
        <w:rPr>
          <w:rFonts w:hint="eastAsia" w:ascii="Times New Roman" w:hAnsi="Times New Roman" w:eastAsia="仿宋_GB2312" w:cs="Times New Roman"/>
          <w:color w:val="auto"/>
          <w:sz w:val="32"/>
          <w:szCs w:val="32"/>
          <w:lang w:val="en-US" w:eastAsia="zh-CN"/>
        </w:rPr>
        <w:t>16．“三公”经费：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pPr>
        <w:pStyle w:val="12"/>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ab/>
      </w:r>
      <w:r>
        <w:rPr>
          <w:rFonts w:hint="eastAsia" w:ascii="Times New Roman" w:hAnsi="Times New Roman" w:eastAsia="仿宋_GB2312" w:cs="Times New Roman"/>
          <w:color w:val="auto"/>
          <w:sz w:val="32"/>
          <w:szCs w:val="32"/>
          <w:lang w:val="en-US" w:eastAsia="zh-CN"/>
        </w:rPr>
        <w:t>17．上级补助收入：指事业单位从主管部门和上级单位取得的非财政补助收入。</w:t>
      </w:r>
    </w:p>
    <w:p>
      <w:pPr>
        <w:pStyle w:val="12"/>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560" w:firstLineChars="200"/>
        <w:textAlignment w:val="auto"/>
        <w:rPr>
          <w:rFonts w:hint="eastAsia" w:ascii="Times New Roman" w:hAnsi="Times New Roman" w:eastAsia="仿宋_GB2312"/>
          <w:sz w:val="28"/>
          <w:szCs w:val="28"/>
          <w:lang w:val="en-US" w:eastAsia="zh-CN"/>
        </w:rPr>
      </w:pP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560" w:firstLineChars="200"/>
        <w:textAlignment w:val="auto"/>
        <w:rPr>
          <w:rFonts w:hint="eastAsia" w:ascii="Times New Roman" w:hAnsi="Times New Roman" w:eastAsia="仿宋_GB2312"/>
          <w:sz w:val="28"/>
          <w:szCs w:val="28"/>
          <w:lang w:val="en-US" w:eastAsia="zh-CN"/>
        </w:rPr>
      </w:pPr>
      <w:bookmarkStart w:id="3" w:name="_GoBack"/>
      <w:bookmarkEnd w:id="3"/>
    </w:p>
    <w:p>
      <w:pPr>
        <w:jc w:val="center"/>
        <w:rPr>
          <w:rFonts w:hint="eastAsia" w:ascii="Times New Roman" w:hAnsi="Times New Roman" w:eastAsia="方正小标宋_GBK" w:cs="Times New Roman"/>
          <w:kern w:val="0"/>
          <w:sz w:val="52"/>
          <w:szCs w:val="52"/>
          <w:lang w:eastAsia="zh-CN"/>
        </w:rPr>
      </w:pPr>
      <w:r>
        <w:rPr>
          <w:rFonts w:hint="eastAsia" w:ascii="Times New Roman" w:hAnsi="Times New Roman" w:eastAsia="方正小标宋_GBK" w:cs="Times New Roman"/>
          <w:kern w:val="0"/>
          <w:sz w:val="52"/>
          <w:szCs w:val="52"/>
        </w:rPr>
        <w:t>第</w:t>
      </w:r>
      <w:r>
        <w:rPr>
          <w:rFonts w:hint="eastAsia" w:ascii="Times New Roman" w:hAnsi="Times New Roman" w:eastAsia="方正小标宋_GBK" w:cs="Times New Roman"/>
          <w:kern w:val="0"/>
          <w:sz w:val="52"/>
          <w:szCs w:val="52"/>
          <w:lang w:eastAsia="zh-CN"/>
        </w:rPr>
        <w:t>五</w:t>
      </w:r>
      <w:r>
        <w:rPr>
          <w:rFonts w:hint="eastAsia" w:ascii="Times New Roman" w:hAnsi="Times New Roman" w:eastAsia="方正小标宋_GBK" w:cs="Times New Roman"/>
          <w:kern w:val="0"/>
          <w:sz w:val="52"/>
          <w:szCs w:val="52"/>
        </w:rPr>
        <w:t>部分</w:t>
      </w:r>
      <w:r>
        <w:rPr>
          <w:rFonts w:hint="eastAsia" w:ascii="Times New Roman" w:hAnsi="Times New Roman" w:eastAsia="方正小标宋_GBK" w:cs="Times New Roman"/>
          <w:kern w:val="0"/>
          <w:sz w:val="52"/>
          <w:szCs w:val="52"/>
          <w:lang w:val="en-US" w:eastAsia="zh-CN"/>
        </w:rPr>
        <w:t xml:space="preserve">  </w:t>
      </w:r>
      <w:r>
        <w:rPr>
          <w:rFonts w:hint="eastAsia" w:ascii="Times New Roman" w:hAnsi="Times New Roman" w:eastAsia="方正小标宋_GBK" w:cs="Times New Roman"/>
          <w:kern w:val="0"/>
          <w:sz w:val="52"/>
          <w:szCs w:val="52"/>
          <w:lang w:eastAsia="zh-CN"/>
        </w:rPr>
        <w:t>附</w:t>
      </w:r>
      <w:r>
        <w:rPr>
          <w:rFonts w:hint="eastAsia" w:ascii="Times New Roman" w:hAnsi="Times New Roman" w:eastAsia="方正小标宋_GBK" w:cs="Times New Roman"/>
          <w:kern w:val="0"/>
          <w:sz w:val="52"/>
          <w:szCs w:val="52"/>
          <w:lang w:val="en-US" w:eastAsia="zh-CN"/>
        </w:rPr>
        <w:t xml:space="preserve"> </w:t>
      </w:r>
      <w:r>
        <w:rPr>
          <w:rFonts w:hint="eastAsia" w:ascii="Times New Roman" w:hAnsi="Times New Roman" w:eastAsia="方正小标宋_GBK" w:cs="Times New Roman"/>
          <w:kern w:val="0"/>
          <w:sz w:val="52"/>
          <w:szCs w:val="52"/>
          <w:lang w:eastAsia="zh-CN"/>
        </w:rPr>
        <w:t>件</w:t>
      </w:r>
    </w:p>
    <w:p>
      <w:pPr>
        <w:pStyle w:val="12"/>
        <w:spacing w:line="600" w:lineRule="exact"/>
        <w:jc w:val="center"/>
        <w:rPr>
          <w:rFonts w:cs="黑体" w:asciiTheme="minorEastAsia" w:hAnsiTheme="minorEastAsia"/>
          <w:color w:val="000000"/>
          <w:kern w:val="0"/>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97DBB2E-FC77-416D-829D-41360319FF34}"/>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embedRegular r:id="rId2" w:fontKey="{A712A18B-77C0-40A1-A4A3-1A075AC5DE2A}"/>
  </w:font>
  <w:font w:name="方正小标宋_GBK">
    <w:altName w:val="微软雅黑"/>
    <w:panose1 w:val="03000509000000000000"/>
    <w:charset w:val="86"/>
    <w:family w:val="script"/>
    <w:pitch w:val="default"/>
    <w:sig w:usb0="00000000" w:usb1="00000000" w:usb2="00000000" w:usb3="00000000" w:csb0="00040000" w:csb1="00000000"/>
    <w:embedRegular r:id="rId3" w:fontKey="{69DA86B5-2206-41ED-BDA3-F805EA30BD9E}"/>
  </w:font>
  <w:font w:name="仿宋_GB2312">
    <w:panose1 w:val="02010609030101010101"/>
    <w:charset w:val="86"/>
    <w:family w:val="modern"/>
    <w:pitch w:val="default"/>
    <w:sig w:usb0="00000001" w:usb1="080E0000" w:usb2="00000000" w:usb3="00000000" w:csb0="00040000" w:csb1="00000000"/>
    <w:embedRegular r:id="rId4" w:fontKey="{A12F4B02-3C24-475F-A0EB-44D0331EB9FD}"/>
  </w:font>
  <w:font w:name="华文中宋">
    <w:panose1 w:val="02010600040101010101"/>
    <w:charset w:val="86"/>
    <w:family w:val="auto"/>
    <w:pitch w:val="default"/>
    <w:sig w:usb0="00000287" w:usb1="080F0000" w:usb2="00000000" w:usb3="00000000" w:csb0="0004009F" w:csb1="DFD70000"/>
    <w:embedRegular r:id="rId5" w:fontKey="{C90D2E6F-1EDE-4D63-9079-A30E3D6F67E4}"/>
  </w:font>
  <w:font w:name="楷体_GB2312">
    <w:panose1 w:val="02010609030101010101"/>
    <w:charset w:val="86"/>
    <w:family w:val="modern"/>
    <w:pitch w:val="default"/>
    <w:sig w:usb0="00000001" w:usb1="080E0000" w:usb2="00000000" w:usb3="00000000" w:csb0="00040000" w:csb1="00000000"/>
    <w:embedRegular r:id="rId6" w:fontKey="{60BD483B-4157-4E04-B7A9-34973E78EB98}"/>
  </w:font>
  <w:font w:name="仿宋">
    <w:panose1 w:val="02010609060101010101"/>
    <w:charset w:val="86"/>
    <w:family w:val="auto"/>
    <w:pitch w:val="default"/>
    <w:sig w:usb0="800002BF" w:usb1="38CF7CFA" w:usb2="00000016" w:usb3="00000000" w:csb0="00040001" w:csb1="00000000"/>
    <w:embedRegular r:id="rId7" w:fontKey="{ADDF8110-73B4-4E17-9191-BF2F5E8C53E2}"/>
  </w:font>
  <w:font w:name="楷体">
    <w:panose1 w:val="02010609060101010101"/>
    <w:charset w:val="86"/>
    <w:family w:val="modern"/>
    <w:pitch w:val="default"/>
    <w:sig w:usb0="800002BF" w:usb1="38CF7CFA" w:usb2="00000016" w:usb3="00000000" w:csb0="00040001" w:csb1="00000000"/>
    <w:embedRegular r:id="rId8" w:fontKey="{A59E8362-0B81-4AA4-85C4-4167B36B779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2232887"/>
    <w:rsid w:val="04CE2A73"/>
    <w:rsid w:val="0CB83354"/>
    <w:rsid w:val="16015013"/>
    <w:rsid w:val="1D97DEFF"/>
    <w:rsid w:val="1DFF72E5"/>
    <w:rsid w:val="1EFC6F07"/>
    <w:rsid w:val="207F7CF4"/>
    <w:rsid w:val="227045E7"/>
    <w:rsid w:val="23E76EA7"/>
    <w:rsid w:val="2C1A2BFD"/>
    <w:rsid w:val="2FDF85B8"/>
    <w:rsid w:val="2FFFEE04"/>
    <w:rsid w:val="34DF85B0"/>
    <w:rsid w:val="375F0685"/>
    <w:rsid w:val="3B8F36BC"/>
    <w:rsid w:val="3BBD4B39"/>
    <w:rsid w:val="411E335F"/>
    <w:rsid w:val="491FF225"/>
    <w:rsid w:val="4FFD214C"/>
    <w:rsid w:val="53F86766"/>
    <w:rsid w:val="5777D4F5"/>
    <w:rsid w:val="59DD8326"/>
    <w:rsid w:val="5DEF592A"/>
    <w:rsid w:val="5FC6BB1E"/>
    <w:rsid w:val="5FF720F1"/>
    <w:rsid w:val="65EC4F77"/>
    <w:rsid w:val="67A93DD4"/>
    <w:rsid w:val="67FF5C0B"/>
    <w:rsid w:val="6EFC0924"/>
    <w:rsid w:val="6FB74722"/>
    <w:rsid w:val="6FEF8B7E"/>
    <w:rsid w:val="71A6591B"/>
    <w:rsid w:val="737D59BA"/>
    <w:rsid w:val="77C37683"/>
    <w:rsid w:val="78133811"/>
    <w:rsid w:val="79D19834"/>
    <w:rsid w:val="79FF515B"/>
    <w:rsid w:val="7BC13C07"/>
    <w:rsid w:val="7BF549BF"/>
    <w:rsid w:val="7DDF11A4"/>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4"/>
    <w:semiHidden/>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character" w:customStyle="1" w:styleId="10">
    <w:name w:val="页眉 Char"/>
    <w:basedOn w:val="9"/>
    <w:link w:val="6"/>
    <w:qFormat/>
    <w:uiPriority w:val="99"/>
    <w:rPr>
      <w:sz w:val="18"/>
      <w:szCs w:val="18"/>
    </w:rPr>
  </w:style>
  <w:style w:type="character" w:customStyle="1" w:styleId="11">
    <w:name w:val="页脚 Char"/>
    <w:basedOn w:val="9"/>
    <w:link w:val="5"/>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4"/>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 w:type="table" w:customStyle="1" w:styleId="18">
    <w:name w:val="Table Normal"/>
    <w:semiHidden/>
    <w:unhideWhenUsed/>
    <w:qFormat/>
    <w:uiPriority w:val="0"/>
    <w:tblPr>
      <w:tblCellMar>
        <w:top w:w="0" w:type="dxa"/>
        <w:left w:w="0" w:type="dxa"/>
        <w:bottom w:w="0" w:type="dxa"/>
        <w:right w:w="0" w:type="dxa"/>
      </w:tblCellMar>
    </w:tblPr>
  </w:style>
  <w:style w:type="paragraph" w:customStyle="1" w:styleId="19">
    <w:name w:val="Table Text"/>
    <w:basedOn w:val="1"/>
    <w:semiHidden/>
    <w:qFormat/>
    <w:uiPriority w:val="0"/>
    <w:rPr>
      <w:rFonts w:ascii="宋体" w:hAnsi="宋体" w:eastAsia="宋体" w:cs="宋体"/>
      <w:sz w:val="19"/>
      <w:szCs w:val="19"/>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24</Pages>
  <Words>659</Words>
  <Characters>674</Characters>
  <Lines>69</Lines>
  <Paragraphs>19</Paragraphs>
  <TotalTime>3</TotalTime>
  <ScaleCrop>false</ScaleCrop>
  <LinksUpToDate>false</LinksUpToDate>
  <CharactersWithSpaces>704</CharactersWithSpaces>
  <Application>WPS Office_11.8.2.12014_F1E327BC-269C-435d-A152-05C5408002CA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蒋琼</cp:lastModifiedBy>
  <cp:lastPrinted>2026-09-07T08:08:00Z</cp:lastPrinted>
  <dcterms:modified xsi:type="dcterms:W3CDTF">2026-09-15T02:47:22Z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2052-11.8.2.12014</vt:lpwstr>
  </property>
  <property fmtid="{D5CDD505-2E9C-101B-9397-08002B2CF9AE}" pid="3" name="ICV">
    <vt:lpwstr>B2F57AE50CD94CD5847BCE18C5D82DC4_13</vt:lpwstr>
  </property>
  <property fmtid="{D5CDD505-2E9C-101B-9397-08002B2CF9AE}" pid="4" name="KSOTemplateDocerSaveRecord">
    <vt:lpwstr>eyJoZGlkIjoiMTYxYzdhNDBlNmVkMDU3OGNlNDUzMGQxYTZlYjIxMGEiLCJ1c2VySWQiOiI2NjM4MDg2MjMifQ==</vt:lpwstr>
  </property>
</Properties>
</file>