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14"/>
        <w:jc w:val="both"/>
        <w:rPr>
          <w:rFonts w:hint="eastAsia" w:hAnsi="黑体" w:eastAsia="黑体"/>
          <w:sz w:val="36"/>
          <w:szCs w:val="36"/>
          <w:lang w:eastAsia="zh-CN"/>
        </w:rPr>
      </w:pPr>
      <w:r>
        <w:rPr>
          <w:rFonts w:hint="eastAsia" w:hAnsi="黑体"/>
          <w:sz w:val="36"/>
          <w:szCs w:val="36"/>
        </w:rPr>
        <w:t>附件</w:t>
      </w:r>
      <w:r>
        <w:rPr>
          <w:rFonts w:hint="eastAsia" w:hAnsi="黑体"/>
          <w:sz w:val="36"/>
          <w:szCs w:val="36"/>
          <w:lang w:val="en-US" w:eastAsia="zh-CN"/>
        </w:rPr>
        <w:t>2</w:t>
      </w:r>
    </w:p>
    <w:p>
      <w:pPr>
        <w:pStyle w:val="14"/>
        <w:jc w:val="center"/>
        <w:rPr>
          <w:rFonts w:ascii="Times New Roman" w:hAnsi="Times New Roman" w:cs="Times New Roman"/>
          <w:sz w:val="56"/>
          <w:szCs w:val="56"/>
        </w:rPr>
      </w:pPr>
    </w:p>
    <w:p>
      <w:pPr>
        <w:pStyle w:val="14"/>
        <w:jc w:val="center"/>
        <w:rPr>
          <w:rFonts w:ascii="Times New Roman" w:hAnsi="Times New Roman" w:cs="Times New Roman"/>
          <w:sz w:val="84"/>
          <w:szCs w:val="84"/>
        </w:rPr>
      </w:pPr>
    </w:p>
    <w:p>
      <w:pPr>
        <w:pStyle w:val="14"/>
        <w:jc w:val="center"/>
        <w:rPr>
          <w:rFonts w:ascii="Times New Roman" w:hAnsi="Times New Roman" w:cs="Times New Roman"/>
          <w:sz w:val="84"/>
          <w:szCs w:val="84"/>
        </w:rPr>
      </w:pPr>
    </w:p>
    <w:p>
      <w:pPr>
        <w:pStyle w:val="14"/>
        <w:jc w:val="center"/>
        <w:rPr>
          <w:rFonts w:ascii="Times New Roman" w:hAnsi="Times New Roman" w:eastAsia="方正小标宋简体" w:cs="Times New Roman"/>
          <w:sz w:val="72"/>
          <w:szCs w:val="72"/>
        </w:rPr>
      </w:pPr>
      <w:r>
        <w:rPr>
          <w:rFonts w:ascii="Times New Roman" w:hAnsi="Times New Roman" w:eastAsia="方正小标宋简体" w:cs="Times New Roman"/>
          <w:sz w:val="72"/>
          <w:szCs w:val="72"/>
        </w:rPr>
        <w:t>202</w:t>
      </w:r>
      <w:r>
        <w:rPr>
          <w:rFonts w:hint="eastAsia" w:ascii="Times New Roman" w:hAnsi="Times New Roman" w:eastAsia="方正小标宋简体" w:cs="Times New Roman"/>
          <w:sz w:val="72"/>
          <w:szCs w:val="72"/>
          <w:lang w:val="en-US" w:eastAsia="zh-CN"/>
        </w:rPr>
        <w:t>5</w:t>
      </w:r>
      <w:r>
        <w:rPr>
          <w:rFonts w:ascii="Times New Roman" w:hAnsi="Times New Roman" w:eastAsia="方正小标宋简体" w:cs="Times New Roman"/>
          <w:sz w:val="72"/>
          <w:szCs w:val="72"/>
        </w:rPr>
        <w:t>年度</w:t>
      </w:r>
    </w:p>
    <w:p>
      <w:pPr>
        <w:pStyle w:val="14"/>
        <w:jc w:val="center"/>
        <w:rPr>
          <w:rFonts w:ascii="Times New Roman" w:hAnsi="Times New Roman" w:eastAsia="方正小标宋简体" w:cs="Times New Roman"/>
          <w:sz w:val="72"/>
          <w:szCs w:val="72"/>
        </w:rPr>
      </w:pPr>
      <w:r>
        <w:rPr>
          <w:rFonts w:hint="eastAsia" w:ascii="Times New Roman" w:hAnsi="Times New Roman" w:eastAsia="方正小标宋简体" w:cs="Times New Roman"/>
          <w:sz w:val="72"/>
          <w:szCs w:val="72"/>
          <w:lang w:val="en-US" w:eastAsia="zh-CN"/>
        </w:rPr>
        <w:t>道县卫生计生综合监督执法局</w:t>
      </w:r>
      <w:r>
        <w:rPr>
          <w:rFonts w:ascii="Times New Roman" w:hAnsi="Times New Roman" w:eastAsia="方正小标宋简体" w:cs="Times New Roman"/>
          <w:sz w:val="72"/>
          <w:szCs w:val="72"/>
        </w:rPr>
        <w:t>决算</w:t>
      </w:r>
    </w:p>
    <w:p>
      <w:pPr>
        <w:pStyle w:val="14"/>
        <w:jc w:val="center"/>
        <w:rPr>
          <w:rFonts w:ascii="Times New Roman" w:hAnsi="Times New Roman" w:eastAsia="方正小标宋_GBK" w:cs="Times New Roman"/>
          <w:sz w:val="56"/>
          <w:szCs w:val="56"/>
        </w:rPr>
      </w:pPr>
    </w:p>
    <w:p>
      <w:pPr>
        <w:pStyle w:val="14"/>
        <w:spacing w:line="600" w:lineRule="exact"/>
        <w:jc w:val="both"/>
        <w:rPr>
          <w:rFonts w:ascii="Times New Roman" w:hAnsi="Times New Roman" w:cs="Times New Roman"/>
          <w:b/>
          <w:sz w:val="36"/>
          <w:szCs w:val="28"/>
        </w:rPr>
        <w:sectPr>
          <w:footerReference r:id="rId3" w:type="default"/>
          <w:pgSz w:w="11906" w:h="16838"/>
          <w:pgMar w:top="1417" w:right="1588" w:bottom="1417" w:left="1588" w:header="851" w:footer="992" w:gutter="0"/>
          <w:pgNumType w:start="1"/>
          <w:cols w:space="425" w:num="1"/>
          <w:docGrid w:type="lines" w:linePitch="312" w:charSpace="0"/>
        </w:sectPr>
      </w:pPr>
    </w:p>
    <w:p>
      <w:pPr>
        <w:pStyle w:val="14"/>
        <w:spacing w:line="600" w:lineRule="exact"/>
        <w:jc w:val="both"/>
        <w:rPr>
          <w:rFonts w:ascii="Times New Roman" w:hAnsi="Times New Roman" w:cs="Times New Roman"/>
          <w:b/>
          <w:sz w:val="36"/>
          <w:szCs w:val="28"/>
        </w:rPr>
      </w:pPr>
    </w:p>
    <w:p>
      <w:pPr>
        <w:pStyle w:val="14"/>
        <w:spacing w:line="600" w:lineRule="exact"/>
        <w:jc w:val="center"/>
        <w:rPr>
          <w:rFonts w:ascii="Times New Roman" w:hAnsi="Times New Roman" w:cs="Times New Roman"/>
          <w:bCs/>
          <w:sz w:val="36"/>
          <w:szCs w:val="28"/>
        </w:rPr>
      </w:pPr>
      <w:r>
        <w:rPr>
          <w:rFonts w:ascii="Times New Roman" w:hAnsi="Times New Roman" w:cs="Times New Roman"/>
          <w:bCs/>
          <w:sz w:val="36"/>
          <w:szCs w:val="28"/>
        </w:rPr>
        <w:t>目  录</w:t>
      </w:r>
    </w:p>
    <w:p>
      <w:pPr>
        <w:pStyle w:val="14"/>
        <w:spacing w:line="600" w:lineRule="exact"/>
        <w:jc w:val="center"/>
        <w:rPr>
          <w:rFonts w:ascii="Times New Roman" w:hAnsi="Times New Roman" w:cs="Times New Roman"/>
          <w:b/>
          <w:sz w:val="36"/>
          <w:szCs w:val="28"/>
        </w:rPr>
      </w:pPr>
    </w:p>
    <w:p>
      <w:pPr>
        <w:pStyle w:val="14"/>
        <w:spacing w:after="156" w:afterLines="50" w:line="600" w:lineRule="exact"/>
        <w:rPr>
          <w:rFonts w:ascii="Times New Roman" w:hAnsi="Times New Roman" w:cs="Times New Roman"/>
          <w:bCs/>
          <w:sz w:val="32"/>
          <w:szCs w:val="32"/>
        </w:rPr>
      </w:pPr>
      <w:r>
        <w:rPr>
          <w:rFonts w:ascii="Times New Roman" w:hAnsi="Times New Roman" w:cs="Times New Roman"/>
          <w:bCs/>
          <w:sz w:val="32"/>
          <w:szCs w:val="32"/>
        </w:rPr>
        <w:t xml:space="preserve">第一部分 </w:t>
      </w:r>
      <w:r>
        <w:rPr>
          <w:rFonts w:hint="eastAsia" w:ascii="Times New Roman" w:hAnsi="Times New Roman" w:cs="Times New Roman"/>
          <w:bCs/>
          <w:sz w:val="32"/>
          <w:szCs w:val="32"/>
          <w:lang w:eastAsia="zh-CN"/>
        </w:rPr>
        <w:t>道县卫生计生综合监督执法局</w:t>
      </w:r>
      <w:r>
        <w:rPr>
          <w:rFonts w:ascii="Times New Roman" w:hAnsi="Times New Roman" w:cs="Times New Roman"/>
          <w:bCs/>
          <w:sz w:val="32"/>
          <w:szCs w:val="32"/>
        </w:rPr>
        <w:t>概况</w:t>
      </w:r>
    </w:p>
    <w:p>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一、部门职责</w:t>
      </w:r>
    </w:p>
    <w:p>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二、机构设置及决算单位构成</w:t>
      </w:r>
    </w:p>
    <w:p>
      <w:pPr>
        <w:pStyle w:val="14"/>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第二部分 部门决算表</w:t>
      </w:r>
    </w:p>
    <w:p>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一、收入支出决算总表</w:t>
      </w:r>
    </w:p>
    <w:p>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二、收入决算表</w:t>
      </w:r>
    </w:p>
    <w:p>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三、支出决算表</w:t>
      </w:r>
    </w:p>
    <w:p>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四、财政拨款收入支出决算总表</w:t>
      </w:r>
    </w:p>
    <w:p>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五、一般公共预算财政拨款支出决算表</w:t>
      </w:r>
    </w:p>
    <w:p>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六、一般公共预算财政拨款基本支出决算明细表</w:t>
      </w:r>
    </w:p>
    <w:p>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七、政府性基金预算财政拨款收入支出决算表</w:t>
      </w:r>
    </w:p>
    <w:p>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八、国有资本经营预算财政拨款支出决算表</w:t>
      </w:r>
    </w:p>
    <w:p>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九、财政拨款“三公”经费支出决算表</w:t>
      </w:r>
    </w:p>
    <w:p>
      <w:pPr>
        <w:pStyle w:val="14"/>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第三部分 部门决算情况说明</w:t>
      </w:r>
    </w:p>
    <w:p>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一、收入支出决算总体情况说明</w:t>
      </w:r>
    </w:p>
    <w:p>
      <w:pPr>
        <w:spacing w:line="600" w:lineRule="exact"/>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二、收入决算情况说明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三、支出决算情况说明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四、财政拨款收入支出决算总体情况说明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五、一般公共预算财政拨款支出决算情况说明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sectPr>
          <w:footerReference r:id="rId4" w:type="default"/>
          <w:pgSz w:w="11906" w:h="16838"/>
          <w:pgMar w:top="1417" w:right="1588" w:bottom="1417" w:left="1588" w:header="851" w:footer="992" w:gutter="0"/>
          <w:pgNumType w:start="1"/>
          <w:cols w:space="425" w:num="1"/>
          <w:docGrid w:type="lines" w:linePitch="312" w:charSpace="0"/>
        </w:sectPr>
      </w:pP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六、一般公共预算财政拨款基本支出决算情况说明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七、财政拨款“三公”经费支出决算情况说明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八、政府性基金预算收入支出决算情况</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九、关于机关运行经费支出说明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十、一般性支出情况说明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十一、关于政府采购支出说明</w:t>
      </w:r>
    </w:p>
    <w:p>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十二、关于国有资产占用情况说明</w:t>
      </w:r>
    </w:p>
    <w:p>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十三、关于202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年度预算绩效管理情况的说明</w:t>
      </w:r>
    </w:p>
    <w:p>
      <w:pPr>
        <w:pStyle w:val="14"/>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第四部分 名词解释</w:t>
      </w:r>
    </w:p>
    <w:p>
      <w:pPr>
        <w:pStyle w:val="14"/>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第五部分 附件</w:t>
      </w:r>
    </w:p>
    <w:p>
      <w:pPr>
        <w:pStyle w:val="14"/>
        <w:spacing w:line="600" w:lineRule="exact"/>
        <w:rPr>
          <w:rFonts w:ascii="Times New Roman" w:hAnsi="Times New Roman" w:cs="Times New Roman"/>
          <w:bCs/>
          <w:sz w:val="28"/>
          <w:szCs w:val="28"/>
        </w:rPr>
      </w:pPr>
    </w:p>
    <w:p>
      <w:pPr>
        <w:jc w:val="center"/>
        <w:rPr>
          <w:rFonts w:ascii="Times New Roman" w:hAnsi="Times New Roman" w:cs="Times New Roman"/>
          <w:sz w:val="72"/>
          <w:szCs w:val="72"/>
        </w:rPr>
      </w:pPr>
    </w:p>
    <w:p>
      <w:pPr>
        <w:jc w:val="center"/>
        <w:rPr>
          <w:rFonts w:ascii="Times New Roman" w:hAnsi="Times New Roman" w:cs="Times New Roman"/>
          <w:sz w:val="72"/>
          <w:szCs w:val="72"/>
        </w:rPr>
      </w:pPr>
    </w:p>
    <w:p>
      <w:pPr>
        <w:jc w:val="center"/>
        <w:rPr>
          <w:rFonts w:ascii="Times New Roman" w:hAnsi="Times New Roman" w:cs="Times New Roman"/>
          <w:sz w:val="72"/>
          <w:szCs w:val="72"/>
        </w:rPr>
      </w:pPr>
    </w:p>
    <w:p>
      <w:pPr>
        <w:pStyle w:val="8"/>
        <w:rPr>
          <w:rFonts w:ascii="Times New Roman" w:hAnsi="Times New Roman" w:cs="Times New Roman"/>
        </w:rPr>
        <w:sectPr>
          <w:footerReference r:id="rId5" w:type="default"/>
          <w:pgSz w:w="11906" w:h="16838"/>
          <w:pgMar w:top="1417" w:right="1588" w:bottom="1417" w:left="1588" w:header="851" w:footer="992" w:gutter="0"/>
          <w:pgNumType w:start="1"/>
          <w:cols w:space="425" w:num="1"/>
          <w:docGrid w:type="lines" w:linePitch="312" w:charSpace="0"/>
        </w:sectPr>
      </w:pPr>
    </w:p>
    <w:p>
      <w:pPr>
        <w:rPr>
          <w:rFonts w:ascii="Times New Roman" w:hAnsi="Times New Roman" w:eastAsia="方正小标宋_GBK" w:cs="Times New Roman"/>
          <w:sz w:val="72"/>
          <w:szCs w:val="72"/>
        </w:rPr>
      </w:pPr>
    </w:p>
    <w:p>
      <w:pPr>
        <w:pStyle w:val="14"/>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第一部分</w:t>
      </w:r>
    </w:p>
    <w:p>
      <w:pPr>
        <w:pStyle w:val="14"/>
        <w:spacing w:line="360" w:lineRule="auto"/>
        <w:jc w:val="center"/>
        <w:rPr>
          <w:rFonts w:ascii="Times New Roman" w:hAnsi="Times New Roman" w:eastAsia="方正小标宋_GBK" w:cs="Times New Roman"/>
          <w:sz w:val="52"/>
          <w:szCs w:val="52"/>
        </w:rPr>
      </w:pPr>
      <w:r>
        <w:rPr>
          <w:rFonts w:hint="eastAsia" w:ascii="Times New Roman" w:hAnsi="Times New Roman" w:eastAsia="方正小标宋_GBK" w:cs="Times New Roman"/>
          <w:sz w:val="52"/>
          <w:szCs w:val="52"/>
          <w:lang w:eastAsia="zh-CN"/>
        </w:rPr>
        <w:t>道县卫生计生综合监督执法局</w:t>
      </w:r>
      <w:r>
        <w:rPr>
          <w:rFonts w:ascii="Times New Roman" w:hAnsi="Times New Roman" w:eastAsia="方正小标宋_GBK" w:cs="Times New Roman"/>
          <w:sz w:val="52"/>
          <w:szCs w:val="52"/>
        </w:rPr>
        <w:t>概况</w:t>
      </w:r>
    </w:p>
    <w:p>
      <w:pPr>
        <w:pStyle w:val="5"/>
        <w:ind w:left="0" w:leftChars="0" w:firstLine="0" w:firstLineChars="0"/>
        <w:rPr>
          <w:rFonts w:ascii="Times New Roman" w:hAnsi="Times New Roman" w:cs="Times New Roman"/>
        </w:rPr>
      </w:pPr>
    </w:p>
    <w:p>
      <w:pPr>
        <w:pStyle w:val="15"/>
        <w:spacing w:line="600" w:lineRule="exact"/>
        <w:ind w:firstLine="0" w:firstLineChars="0"/>
        <w:jc w:val="left"/>
        <w:rPr>
          <w:rFonts w:ascii="Times New Roman" w:hAnsi="Times New Roman" w:eastAsia="黑体" w:cs="Times New Roman"/>
          <w:sz w:val="32"/>
          <w:szCs w:val="32"/>
        </w:rPr>
      </w:pPr>
      <w:r>
        <w:rPr>
          <w:rFonts w:hint="eastAsia" w:ascii="Times New Roman" w:hAnsi="Times New Roman" w:eastAsia="黑体" w:cs="Times New Roman"/>
          <w:sz w:val="32"/>
          <w:szCs w:val="32"/>
        </w:rPr>
        <w:t>一、</w:t>
      </w:r>
      <w:r>
        <w:rPr>
          <w:rFonts w:ascii="Times New Roman" w:hAnsi="Times New Roman" w:eastAsia="黑体" w:cs="Times New Roman"/>
          <w:sz w:val="32"/>
          <w:szCs w:val="32"/>
        </w:rPr>
        <w:t>部门职责</w:t>
      </w:r>
    </w:p>
    <w:p>
      <w:pPr>
        <w:keepNext w:val="0"/>
        <w:keepLines w:val="0"/>
        <w:widowControl/>
        <w:suppressLineNumbers w:val="0"/>
        <w:ind w:firstLine="320" w:firstLineChars="100"/>
        <w:jc w:val="left"/>
      </w:pPr>
      <w:r>
        <w:rPr>
          <w:rFonts w:ascii="仿宋" w:hAnsi="仿宋" w:eastAsia="仿宋" w:cs="仿宋"/>
          <w:color w:val="000000"/>
          <w:kern w:val="0"/>
          <w:sz w:val="32"/>
          <w:szCs w:val="32"/>
          <w:lang w:val="en-US" w:eastAsia="zh-CN" w:bidi="ar"/>
        </w:rPr>
        <w:t>道县卫生计生综合监督执法局的主要职责是：</w:t>
      </w:r>
    </w:p>
    <w:p>
      <w:pPr>
        <w:keepNext w:val="0"/>
        <w:keepLines w:val="0"/>
        <w:widowControl/>
        <w:suppressLineNumbers w:val="0"/>
        <w:ind w:firstLine="320" w:firstLineChars="100"/>
        <w:jc w:val="left"/>
      </w:pPr>
      <w:r>
        <w:rPr>
          <w:rFonts w:hint="eastAsia" w:ascii="仿宋" w:hAnsi="仿宋" w:eastAsia="仿宋" w:cs="仿宋"/>
          <w:color w:val="000000"/>
          <w:kern w:val="0"/>
          <w:sz w:val="32"/>
          <w:szCs w:val="32"/>
          <w:lang w:val="en-US" w:eastAsia="zh-CN" w:bidi="ar"/>
        </w:rPr>
        <w:t xml:space="preserve">根据道政办发（2016）74号文件规定，本单位主要工作职责是：根据授权，实施卫生计生专项整治和日常监督检查；对公共场所卫生、生活饮用水和涉及饮用水卫生安全产品卫生、学校卫生及消毒产品进行监督检查；对医疗机构及其从业人员的执业活动进行监督检查，查处违法行为；打击非法行医；整顿和规范医疗服务秩序；对职业卫生、放射诊疗、职业健康检查和职业病诊断工作进行监督检查，查处违法行为；对医疗机 </w:t>
      </w:r>
    </w:p>
    <w:p>
      <w:pPr>
        <w:keepNext w:val="0"/>
        <w:keepLines w:val="0"/>
        <w:widowControl/>
        <w:suppressLineNumbers w:val="0"/>
        <w:jc w:val="left"/>
      </w:pPr>
      <w:r>
        <w:rPr>
          <w:rFonts w:hint="eastAsia" w:ascii="仿宋" w:hAnsi="仿宋" w:eastAsia="仿宋" w:cs="仿宋"/>
          <w:color w:val="000000"/>
          <w:kern w:val="0"/>
          <w:sz w:val="32"/>
          <w:szCs w:val="32"/>
          <w:lang w:val="en-US" w:eastAsia="zh-CN" w:bidi="ar"/>
        </w:rPr>
        <w:t xml:space="preserve">构、疾病预防控制机构的传染病防治进行监督检查，查处违法行为；对母婴保健机构、计划生育技术服务机构服务内容和从业人员的行为规范进行监督；对卫生监督协管员进行培训、业务指导；负责县内卫生计生监督信息的收集、核实和上报；受理对违法行为的投诉、举报，并组织调查处理和及时回复；开展卫生计生法律法规宣传教育和执法检查；完成卫生计生 </w:t>
      </w:r>
    </w:p>
    <w:p>
      <w:pPr>
        <w:keepNext w:val="0"/>
        <w:keepLines w:val="0"/>
        <w:widowControl/>
        <w:suppressLineNumbers w:val="0"/>
        <w:jc w:val="left"/>
      </w:pPr>
      <w:r>
        <w:rPr>
          <w:rFonts w:hint="eastAsia" w:ascii="仿宋" w:hAnsi="仿宋" w:eastAsia="仿宋" w:cs="仿宋"/>
          <w:color w:val="000000"/>
          <w:kern w:val="0"/>
          <w:sz w:val="32"/>
          <w:szCs w:val="32"/>
          <w:lang w:val="en-US" w:eastAsia="zh-CN" w:bidi="ar"/>
        </w:rPr>
        <w:t xml:space="preserve">行政部门交办的其他工作。 </w:t>
      </w:r>
    </w:p>
    <w:p>
      <w:pPr>
        <w:spacing w:line="600" w:lineRule="exact"/>
        <w:jc w:val="left"/>
        <w:rPr>
          <w:rFonts w:hint="eastAsia" w:ascii="Times New Roman" w:hAnsi="Times New Roman" w:eastAsia="仿宋_GB2312" w:cs="Times New Roman"/>
          <w:sz w:val="32"/>
          <w:szCs w:val="32"/>
          <w:lang w:eastAsia="zh-CN"/>
        </w:rPr>
      </w:pPr>
    </w:p>
    <w:p>
      <w:pPr>
        <w:widowControl/>
        <w:spacing w:line="600" w:lineRule="exact"/>
        <w:rPr>
          <w:rFonts w:ascii="Times New Roman" w:hAnsi="Times New Roman" w:eastAsia="黑体" w:cs="Times New Roman"/>
          <w:bCs/>
          <w:kern w:val="0"/>
          <w:sz w:val="32"/>
          <w:szCs w:val="32"/>
        </w:rPr>
      </w:pPr>
      <w:r>
        <w:rPr>
          <w:rFonts w:ascii="Times New Roman" w:hAnsi="Times New Roman" w:eastAsia="黑体" w:cs="Times New Roman"/>
          <w:bCs/>
          <w:kern w:val="0"/>
          <w:sz w:val="32"/>
          <w:szCs w:val="32"/>
        </w:rPr>
        <w:t>二、机构设置及决算单位构成</w:t>
      </w:r>
    </w:p>
    <w:p>
      <w:pPr>
        <w:keepNext w:val="0"/>
        <w:keepLines w:val="0"/>
        <w:widowControl/>
        <w:suppressLineNumbers w:val="0"/>
        <w:jc w:val="left"/>
      </w:pPr>
      <w:r>
        <w:rPr>
          <w:rFonts w:hint="eastAsia" w:ascii="仿宋" w:hAnsi="仿宋" w:eastAsia="仿宋" w:cs="仿宋"/>
          <w:color w:val="000000"/>
          <w:kern w:val="0"/>
          <w:sz w:val="32"/>
          <w:szCs w:val="32"/>
          <w:lang w:val="en-US" w:eastAsia="zh-CN" w:bidi="ar"/>
        </w:rPr>
        <w:t>（一）内设机构设置</w:t>
      </w:r>
    </w:p>
    <w:p>
      <w:pPr>
        <w:keepNext w:val="0"/>
        <w:keepLines w:val="0"/>
        <w:widowControl/>
        <w:suppressLineNumbers w:val="0"/>
        <w:ind w:firstLine="320" w:firstLineChars="100"/>
        <w:jc w:val="left"/>
      </w:pPr>
      <w:r>
        <w:rPr>
          <w:rFonts w:hint="eastAsia" w:ascii="仿宋" w:hAnsi="仿宋" w:eastAsia="仿宋" w:cs="仿宋"/>
          <w:color w:val="000000"/>
          <w:kern w:val="0"/>
          <w:sz w:val="32"/>
          <w:szCs w:val="32"/>
          <w:lang w:val="en-US" w:eastAsia="zh-CN" w:bidi="ar"/>
        </w:rPr>
        <w:t>我局是全额拨款事业单位（参加公务员法管理），内设医疗机构监督股、公共场所卫生监督股、学校卫生监督股、职业卫生监督股、职业卫生监督股、稽查股、综合办公室、财务室等八个股室。</w:t>
      </w:r>
    </w:p>
    <w:p>
      <w:pPr>
        <w:keepNext w:val="0"/>
        <w:keepLines w:val="0"/>
        <w:widowControl/>
        <w:numPr>
          <w:ilvl w:val="0"/>
          <w:numId w:val="1"/>
        </w:numPr>
        <w:suppressLineNumbers w:val="0"/>
        <w:jc w:val="left"/>
        <w:rPr>
          <w:rFonts w:hint="eastAsia" w:ascii="仿宋" w:hAnsi="仿宋" w:eastAsia="仿宋" w:cs="仿宋"/>
          <w:color w:val="000000"/>
          <w:kern w:val="0"/>
          <w:sz w:val="32"/>
          <w:szCs w:val="32"/>
          <w:lang w:val="en-US" w:eastAsia="zh-CN" w:bidi="ar"/>
        </w:rPr>
      </w:pPr>
      <w:r>
        <w:rPr>
          <w:rFonts w:hint="eastAsia" w:ascii="仿宋" w:hAnsi="仿宋" w:eastAsia="仿宋" w:cs="仿宋"/>
          <w:color w:val="000000"/>
          <w:kern w:val="0"/>
          <w:sz w:val="32"/>
          <w:szCs w:val="32"/>
          <w:lang w:val="en-US" w:eastAsia="zh-CN" w:bidi="ar"/>
        </w:rPr>
        <w:t>决算单位构成</w:t>
      </w:r>
    </w:p>
    <w:p>
      <w:pPr>
        <w:keepNext w:val="0"/>
        <w:keepLines w:val="0"/>
        <w:widowControl/>
        <w:numPr>
          <w:numId w:val="0"/>
        </w:numPr>
        <w:suppressLineNumbers w:val="0"/>
        <w:ind w:firstLine="640" w:firstLineChars="200"/>
        <w:jc w:val="left"/>
        <w:rPr>
          <w:rFonts w:hint="eastAsia" w:ascii="Times New Roman" w:hAnsi="Times New Roman" w:eastAsia="仿宋_GB2312" w:cs="Times New Roman"/>
          <w:bCs/>
          <w:kern w:val="0"/>
          <w:sz w:val="32"/>
          <w:szCs w:val="32"/>
          <w:lang w:eastAsia="zh-CN"/>
        </w:rPr>
      </w:pPr>
      <w:r>
        <w:rPr>
          <w:rFonts w:hint="eastAsia" w:ascii="仿宋" w:hAnsi="仿宋" w:eastAsia="仿宋" w:cs="仿宋"/>
          <w:color w:val="000000"/>
          <w:kern w:val="0"/>
          <w:sz w:val="32"/>
          <w:szCs w:val="32"/>
          <w:lang w:val="en-US" w:eastAsia="zh-CN" w:bidi="ar"/>
        </w:rPr>
        <w:t>道县卫生计生综合监督执法局2025年部门决算汇总公开单位构成包括：道县卫生计生综合监督执法局本级。</w:t>
      </w:r>
    </w:p>
    <w:p>
      <w:pPr>
        <w:jc w:val="left"/>
        <w:rPr>
          <w:rFonts w:ascii="Times New Roman" w:hAnsi="Times New Roman" w:eastAsia="仿宋_GB2312" w:cs="Times New Roman"/>
          <w:sz w:val="28"/>
          <w:szCs w:val="32"/>
        </w:rPr>
      </w:pPr>
    </w:p>
    <w:p>
      <w:pPr>
        <w:jc w:val="center"/>
        <w:rPr>
          <w:rFonts w:ascii="Times New Roman" w:hAnsi="Times New Roman" w:eastAsia="黑体" w:cs="Times New Roman"/>
          <w:sz w:val="28"/>
          <w:szCs w:val="28"/>
        </w:rPr>
      </w:pPr>
    </w:p>
    <w:p>
      <w:pPr>
        <w:jc w:val="center"/>
        <w:rPr>
          <w:rFonts w:ascii="Times New Roman" w:hAnsi="Times New Roman" w:eastAsia="黑体" w:cs="Times New Roman"/>
          <w:sz w:val="28"/>
          <w:szCs w:val="28"/>
        </w:rPr>
      </w:pPr>
    </w:p>
    <w:p>
      <w:pPr>
        <w:jc w:val="center"/>
        <w:rPr>
          <w:rFonts w:ascii="Times New Roman" w:hAnsi="Times New Roman" w:eastAsia="黑体" w:cs="Times New Roman"/>
          <w:sz w:val="28"/>
          <w:szCs w:val="28"/>
        </w:rPr>
      </w:pPr>
    </w:p>
    <w:p>
      <w:pPr>
        <w:jc w:val="center"/>
        <w:rPr>
          <w:rFonts w:ascii="Times New Roman" w:hAnsi="Times New Roman" w:eastAsia="黑体" w:cs="Times New Roman"/>
          <w:sz w:val="28"/>
          <w:szCs w:val="28"/>
        </w:rPr>
      </w:pPr>
    </w:p>
    <w:p>
      <w:pPr>
        <w:jc w:val="center"/>
        <w:rPr>
          <w:rFonts w:ascii="Times New Roman" w:hAnsi="Times New Roman" w:eastAsia="黑体" w:cs="Times New Roman"/>
          <w:sz w:val="28"/>
          <w:szCs w:val="28"/>
        </w:rPr>
      </w:pPr>
    </w:p>
    <w:p>
      <w:pPr>
        <w:pStyle w:val="8"/>
        <w:rPr>
          <w:rFonts w:ascii="Times New Roman" w:hAnsi="Times New Roman" w:cs="Times New Roman"/>
        </w:rPr>
        <w:sectPr>
          <w:footerReference r:id="rId6" w:type="default"/>
          <w:pgSz w:w="11906" w:h="16838"/>
          <w:pgMar w:top="1417" w:right="1588" w:bottom="1417" w:left="1588" w:header="851" w:footer="992" w:gutter="0"/>
          <w:pgNumType w:start="1"/>
          <w:cols w:space="425" w:num="1"/>
          <w:docGrid w:type="lines" w:linePitch="312" w:charSpace="0"/>
        </w:sectPr>
      </w:pPr>
    </w:p>
    <w:p>
      <w:pPr>
        <w:pStyle w:val="14"/>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第二部分    部门决算表</w:t>
      </w:r>
    </w:p>
    <w:p>
      <w:pPr>
        <w:widowControl/>
        <w:spacing w:after="156" w:afterLines="50"/>
        <w:jc w:val="center"/>
        <w:textAlignment w:val="center"/>
        <w:rPr>
          <w:rFonts w:ascii="Times New Roman" w:hAnsi="Times New Roman" w:eastAsia="黑体" w:cs="Times New Roman"/>
          <w:color w:val="000000"/>
          <w:sz w:val="36"/>
          <w:szCs w:val="36"/>
        </w:rPr>
      </w:pPr>
      <w:r>
        <w:rPr>
          <w:rFonts w:ascii="Times New Roman" w:hAnsi="Times New Roman" w:eastAsia="黑体" w:cs="Times New Roman"/>
          <w:color w:val="000000"/>
          <w:kern w:val="0"/>
          <w:sz w:val="36"/>
          <w:szCs w:val="36"/>
          <w:lang w:bidi="ar"/>
        </w:rPr>
        <w:t>收入支出决算总表</w:t>
      </w:r>
    </w:p>
    <w:p>
      <w:pPr>
        <w:widowControl/>
        <w:tabs>
          <w:tab w:val="left" w:pos="4442"/>
          <w:tab w:val="left" w:pos="5045"/>
          <w:tab w:val="left" w:pos="6444"/>
          <w:tab w:val="left" w:pos="11477"/>
          <w:tab w:val="left" w:pos="13102"/>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kern w:val="0"/>
          <w:sz w:val="20"/>
          <w:szCs w:val="20"/>
          <w:lang w:bidi="ar"/>
        </w:rPr>
        <w:t>公开01表</w:t>
      </w:r>
    </w:p>
    <w:p>
      <w:pPr>
        <w:widowControl/>
        <w:tabs>
          <w:tab w:val="left" w:pos="4442"/>
          <w:tab w:val="left" w:pos="5045"/>
          <w:tab w:val="left" w:pos="6444"/>
          <w:tab w:val="left" w:pos="11477"/>
          <w:tab w:val="left" w:pos="13102"/>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部门：</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kern w:val="0"/>
          <w:sz w:val="20"/>
          <w:szCs w:val="20"/>
          <w:lang w:bidi="ar"/>
        </w:rPr>
        <w:t>单位：万元</w:t>
      </w:r>
    </w:p>
    <w:tbl>
      <w:tblPr>
        <w:tblStyle w:val="10"/>
        <w:tblW w:w="14896" w:type="dxa"/>
        <w:jc w:val="center"/>
        <w:tblLayout w:type="autofit"/>
        <w:tblCellMar>
          <w:top w:w="0" w:type="dxa"/>
          <w:left w:w="108" w:type="dxa"/>
          <w:bottom w:w="0" w:type="dxa"/>
          <w:right w:w="108" w:type="dxa"/>
        </w:tblCellMar>
      </w:tblPr>
      <w:tblGrid>
        <w:gridCol w:w="5277"/>
        <w:gridCol w:w="779"/>
        <w:gridCol w:w="1183"/>
        <w:gridCol w:w="4444"/>
        <w:gridCol w:w="779"/>
        <w:gridCol w:w="2434"/>
      </w:tblGrid>
      <w:tr>
        <w:tblPrEx>
          <w:tblCellMar>
            <w:top w:w="0" w:type="dxa"/>
            <w:left w:w="108" w:type="dxa"/>
            <w:bottom w:w="0" w:type="dxa"/>
            <w:right w:w="108" w:type="dxa"/>
          </w:tblCellMar>
        </w:tblPrEx>
        <w:trPr>
          <w:trHeight w:val="340" w:hRule="exact"/>
          <w:jc w:val="center"/>
        </w:trPr>
        <w:tc>
          <w:tcPr>
            <w:tcW w:w="0" w:type="auto"/>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收入</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支出</w:t>
            </w: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项    目</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行次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决算数</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项    目</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行次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决算数</w:t>
            </w: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    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ascii="Times New Roman" w:hAnsi="Times New Roman" w:eastAsia="仿宋_GB2312" w:cs="Times New Roman"/>
                <w:color w:val="000000"/>
                <w:sz w:val="24"/>
                <w:szCs w:val="24"/>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    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ascii="Times New Roman" w:hAnsi="Times New Roman" w:eastAsia="仿宋_GB2312" w:cs="Times New Roman"/>
                <w:color w:val="000000"/>
                <w:sz w:val="24"/>
                <w:szCs w:val="24"/>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2</w:t>
            </w: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一、一般公共预算财政拨款收入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default" w:ascii="Times New Roman" w:hAnsi="Times New Roman" w:eastAsia="仿宋_GB2312" w:cs="Times New Roman"/>
                <w:color w:val="000000"/>
                <w:sz w:val="22"/>
                <w:lang w:val="en-US"/>
              </w:rPr>
            </w:pPr>
            <w:r>
              <w:rPr>
                <w:rFonts w:hint="default" w:ascii="Times New Roman" w:hAnsi="Times New Roman" w:eastAsia="仿宋_GB2312" w:cs="Times New Roman"/>
                <w:color w:val="000000"/>
                <w:sz w:val="22"/>
                <w:lang w:val="en-US"/>
              </w:rPr>
              <w:t>169.21</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一、一般公共服务支出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二、政府性基金预算财政拨款收入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二、外交支出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三、国有资本经营预算财政拨款收入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三、国防支出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四、上级补助收入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四、公共安全支出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五、事业收入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五、教育支出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六、经营收入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六、科学技术支出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七、附属单位上缴收入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hint="eastAsia" w:ascii="Times New Roman" w:hAnsi="Times New Roman" w:eastAsia="仿宋_GB2312" w:cs="Times New Roman"/>
                <w:color w:val="000000"/>
                <w:sz w:val="24"/>
                <w:szCs w:val="24"/>
                <w:lang w:val="en-US" w:eastAsia="zh-CN"/>
              </w:rPr>
            </w:pPr>
            <w:r>
              <w:rPr>
                <w:rFonts w:hint="eastAsia" w:ascii="Times New Roman" w:hAnsi="Times New Roman" w:eastAsia="仿宋_GB2312" w:cs="Times New Roman"/>
                <w:color w:val="000000"/>
                <w:sz w:val="24"/>
                <w:szCs w:val="24"/>
                <w:lang w:val="en-US" w:eastAsia="zh-CN"/>
              </w:rPr>
              <w:t>七、文化旅游体育与传媒支出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八、其他收入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Times New Roman" w:hAnsi="Times New Roman" w:eastAsia="仿宋_GB2312" w:cs="Times New Roman"/>
                <w:color w:val="000000"/>
                <w:sz w:val="22"/>
                <w:lang w:eastAsia="zh-CN"/>
              </w:rPr>
            </w:pPr>
            <w:r>
              <w:rPr>
                <w:rFonts w:hint="eastAsia" w:ascii="Times New Roman" w:hAnsi="Times New Roman" w:eastAsia="仿宋_GB2312" w:cs="Times New Roman"/>
                <w:color w:val="000000"/>
                <w:sz w:val="22"/>
                <w:lang w:eastAsia="zh-CN"/>
              </w:rPr>
              <w:t>八、社会保障和就业支出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　　11.24</w:t>
            </w: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0"/>
                <w:szCs w:val="20"/>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both"/>
              <w:rPr>
                <w:rFonts w:hint="eastAsia" w:ascii="Times New Roman" w:hAnsi="Times New Roman" w:eastAsia="仿宋_GB2312" w:cs="Times New Roman"/>
                <w:color w:val="000000"/>
                <w:sz w:val="20"/>
                <w:szCs w:val="20"/>
                <w:lang w:eastAsia="zh-CN"/>
              </w:rPr>
            </w:pPr>
            <w:r>
              <w:rPr>
                <w:rFonts w:hint="eastAsia" w:ascii="Times New Roman" w:hAnsi="Times New Roman" w:eastAsia="仿宋_GB2312" w:cs="Times New Roman"/>
                <w:color w:val="000000"/>
                <w:sz w:val="20"/>
                <w:szCs w:val="20"/>
                <w:lang w:eastAsia="zh-CN"/>
              </w:rPr>
              <w:t>九、卫生健康支出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Times New Roman" w:hAnsi="Times New Roman" w:eastAsia="仿宋_GB2312" w:cs="Times New Roman"/>
                <w:b/>
                <w:color w:val="000000"/>
                <w:sz w:val="22"/>
                <w:lang w:val="en-US" w:eastAsia="zh-CN"/>
              </w:rPr>
            </w:pPr>
            <w:r>
              <w:rPr>
                <w:rFonts w:hint="eastAsia" w:ascii="Times New Roman" w:hAnsi="Times New Roman" w:eastAsia="仿宋_GB2312" w:cs="Times New Roman"/>
                <w:b/>
                <w:color w:val="000000"/>
                <w:sz w:val="22"/>
                <w:lang w:val="en-US" w:eastAsia="zh-CN"/>
              </w:rPr>
              <w:t>　　　　　157.97</w:t>
            </w: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本年收入合计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default" w:ascii="Times New Roman" w:hAnsi="Times New Roman" w:eastAsia="仿宋_GB2312" w:cs="Times New Roman"/>
                <w:color w:val="000000"/>
                <w:sz w:val="22"/>
                <w:lang w:val="en-US"/>
              </w:rPr>
            </w:pPr>
            <w:r>
              <w:rPr>
                <w:rFonts w:hint="default" w:ascii="Times New Roman" w:hAnsi="Times New Roman" w:eastAsia="仿宋_GB2312" w:cs="Times New Roman"/>
                <w:color w:val="000000"/>
                <w:sz w:val="22"/>
                <w:lang w:val="en-US"/>
              </w:rPr>
              <w:t>169.21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本年支出合计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　　　　　169.21</w:t>
            </w: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使用非财政拨款结余（含专用结余）</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结余分配</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仿宋_GB2312" w:cs="Times New Roman"/>
                <w:color w:val="000000"/>
                <w:sz w:val="22"/>
              </w:rPr>
            </w:pP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年初结转和结余</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年末结转和结余</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仿宋_GB2312" w:cs="Times New Roman"/>
                <w:color w:val="000000"/>
                <w:sz w:val="22"/>
              </w:rPr>
            </w:pP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总计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default" w:ascii="Times New Roman" w:hAnsi="Times New Roman" w:eastAsia="仿宋_GB2312" w:cs="Times New Roman"/>
                <w:color w:val="000000"/>
                <w:sz w:val="22"/>
                <w:lang w:val="en-US"/>
              </w:rPr>
            </w:pPr>
            <w:r>
              <w:rPr>
                <w:rFonts w:hint="default" w:ascii="Times New Roman" w:hAnsi="Times New Roman" w:eastAsia="仿宋_GB2312" w:cs="Times New Roman"/>
                <w:color w:val="000000"/>
                <w:sz w:val="22"/>
                <w:lang w:val="en-US"/>
              </w:rPr>
              <w:t>169.21</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总计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Times New Roman" w:hAnsi="Times New Roman" w:eastAsia="仿宋_GB2312" w:cs="Times New Roman"/>
                <w:b/>
                <w:color w:val="000000"/>
                <w:sz w:val="22"/>
                <w:lang w:val="en-US" w:eastAsia="zh-CN"/>
              </w:rPr>
            </w:pPr>
            <w:r>
              <w:rPr>
                <w:rFonts w:hint="eastAsia" w:ascii="Times New Roman" w:hAnsi="Times New Roman" w:eastAsia="仿宋_GB2312" w:cs="Times New Roman"/>
                <w:b/>
                <w:color w:val="000000"/>
                <w:sz w:val="22"/>
                <w:lang w:val="en-US" w:eastAsia="zh-CN"/>
              </w:rPr>
              <w:t>　　　　　169.21</w:t>
            </w:r>
          </w:p>
        </w:tc>
      </w:tr>
    </w:tbl>
    <w:p>
      <w:pPr>
        <w:widowControl/>
        <w:jc w:val="left"/>
        <w:textAlignment w:val="center"/>
        <w:rPr>
          <w:rFonts w:ascii="Times New Roman" w:hAnsi="Times New Roman" w:eastAsia="宋体" w:cs="Times New Roman"/>
          <w:color w:val="000000"/>
          <w:kern w:val="0"/>
          <w:sz w:val="24"/>
          <w:szCs w:val="24"/>
          <w:lang w:bidi="ar"/>
        </w:rPr>
      </w:pPr>
    </w:p>
    <w:p>
      <w:pPr>
        <w:widowControl/>
        <w:jc w:val="left"/>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注：1.本表反映部门本年度的总收支和年末结转结余情况。</w:t>
      </w:r>
      <w:r>
        <w:rPr>
          <w:rFonts w:ascii="Times New Roman" w:hAnsi="Times New Roman" w:eastAsia="仿宋_GB2312" w:cs="Times New Roman"/>
          <w:color w:val="000000"/>
          <w:kern w:val="0"/>
          <w:sz w:val="24"/>
          <w:szCs w:val="24"/>
          <w:lang w:bidi="ar"/>
        </w:rPr>
        <w:br w:type="textWrapping"/>
      </w:r>
      <w:r>
        <w:rPr>
          <w:rFonts w:ascii="Times New Roman" w:hAnsi="Times New Roman" w:eastAsia="仿宋_GB2312" w:cs="Times New Roman"/>
          <w:color w:val="000000"/>
          <w:kern w:val="0"/>
          <w:sz w:val="24"/>
          <w:szCs w:val="24"/>
          <w:lang w:bidi="ar"/>
        </w:rPr>
        <w:t xml:space="preserve">    2.本套报表金额单位转换时可能存在尾数误差。</w:t>
      </w:r>
    </w:p>
    <w:p>
      <w:pPr>
        <w:rPr>
          <w:rFonts w:ascii="Times New Roman" w:hAnsi="Times New Roman" w:eastAsia="华文中宋" w:cs="Times New Roman"/>
          <w:color w:val="000000"/>
          <w:sz w:val="32"/>
          <w:szCs w:val="32"/>
        </w:rPr>
      </w:pPr>
      <w:r>
        <w:rPr>
          <w:rFonts w:ascii="Times New Roman" w:hAnsi="Times New Roman" w:eastAsia="华文中宋" w:cs="Times New Roman"/>
          <w:color w:val="000000"/>
          <w:sz w:val="32"/>
          <w:szCs w:val="32"/>
        </w:rPr>
        <w:br w:type="page"/>
      </w:r>
    </w:p>
    <w:p>
      <w:pPr>
        <w:widowControl/>
        <w:spacing w:line="400" w:lineRule="exact"/>
        <w:jc w:val="center"/>
        <w:textAlignment w:val="center"/>
        <w:rPr>
          <w:rFonts w:ascii="Times New Roman" w:hAnsi="Times New Roman" w:eastAsia="黑体" w:cs="Times New Roman"/>
          <w:color w:val="000000"/>
          <w:kern w:val="0"/>
          <w:sz w:val="32"/>
          <w:szCs w:val="32"/>
          <w:lang w:bidi="ar"/>
        </w:rPr>
      </w:pPr>
    </w:p>
    <w:p>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收入决算表</w:t>
      </w:r>
    </w:p>
    <w:p>
      <w:pPr>
        <w:tabs>
          <w:tab w:val="left" w:pos="315"/>
          <w:tab w:val="left" w:pos="630"/>
          <w:tab w:val="left" w:pos="2100"/>
          <w:tab w:val="left" w:pos="3895"/>
          <w:tab w:val="left" w:pos="5690"/>
          <w:tab w:val="left" w:pos="7485"/>
          <w:tab w:val="left" w:pos="9280"/>
          <w:tab w:val="left" w:pos="11075"/>
          <w:tab w:val="left" w:pos="12870"/>
        </w:tabs>
        <w:jc w:val="right"/>
        <w:rPr>
          <w:rFonts w:ascii="Times New Roman" w:hAnsi="Times New Roman" w:eastAsia="仿宋_GB2312" w:cs="Times New Roman"/>
          <w:color w:val="000000"/>
          <w:sz w:val="20"/>
          <w:szCs w:val="20"/>
        </w:rPr>
      </w:pP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公开02表</w:t>
      </w:r>
    </w:p>
    <w:p>
      <w:pPr>
        <w:tabs>
          <w:tab w:val="left" w:pos="630"/>
          <w:tab w:val="left" w:pos="2100"/>
          <w:tab w:val="left" w:pos="3895"/>
          <w:tab w:val="left" w:pos="5690"/>
          <w:tab w:val="left" w:pos="7485"/>
          <w:tab w:val="left" w:pos="9280"/>
          <w:tab w:val="left" w:pos="11075"/>
          <w:tab w:val="left" w:pos="12870"/>
        </w:tabs>
        <w:jc w:val="right"/>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0"/>
          <w:szCs w:val="20"/>
        </w:rPr>
        <w:t>部门：</w:t>
      </w:r>
      <w:r>
        <w:rPr>
          <w:rFonts w:ascii="Times New Roman" w:hAnsi="Times New Roman" w:eastAsia="仿宋_GB2312" w:cs="Times New Roman"/>
          <w:color w:val="000000"/>
          <w:sz w:val="20"/>
          <w:szCs w:val="20"/>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　</w:t>
      </w:r>
      <w:r>
        <w:rPr>
          <w:rFonts w:ascii="Times New Roman" w:hAnsi="Times New Roman" w:eastAsia="仿宋_GB2312" w:cs="Times New Roman"/>
          <w:color w:val="000000"/>
          <w:sz w:val="20"/>
          <w:szCs w:val="20"/>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单位：万元</w:t>
      </w:r>
    </w:p>
    <w:tbl>
      <w:tblPr>
        <w:tblStyle w:val="10"/>
        <w:tblW w:w="14666" w:type="dxa"/>
        <w:jc w:val="center"/>
        <w:tblLayout w:type="fixed"/>
        <w:tblCellMar>
          <w:top w:w="0" w:type="dxa"/>
          <w:left w:w="0" w:type="dxa"/>
          <w:bottom w:w="0" w:type="dxa"/>
          <w:right w:w="0" w:type="dxa"/>
        </w:tblCellMar>
      </w:tblPr>
      <w:tblGrid>
        <w:gridCol w:w="1886"/>
        <w:gridCol w:w="1300"/>
        <w:gridCol w:w="1640"/>
        <w:gridCol w:w="1640"/>
        <w:gridCol w:w="1640"/>
        <w:gridCol w:w="1640"/>
        <w:gridCol w:w="1640"/>
        <w:gridCol w:w="1897"/>
        <w:gridCol w:w="1383"/>
      </w:tblGrid>
      <w:tr>
        <w:tblPrEx>
          <w:tblCellMar>
            <w:top w:w="0" w:type="dxa"/>
            <w:left w:w="0" w:type="dxa"/>
            <w:bottom w:w="0" w:type="dxa"/>
            <w:right w:w="0" w:type="dxa"/>
          </w:tblCellMar>
        </w:tblPrEx>
        <w:trPr>
          <w:trHeight w:val="450" w:hRule="atLeast"/>
          <w:jc w:val="center"/>
        </w:trPr>
        <w:tc>
          <w:tcPr>
            <w:tcW w:w="3186" w:type="dxa"/>
            <w:gridSpan w:val="2"/>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项    目</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本年收入合计</w:t>
            </w:r>
          </w:p>
        </w:tc>
        <w:tc>
          <w:tcPr>
            <w:tcW w:w="1640" w:type="dxa"/>
            <w:vMerge w:val="restart"/>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财政拨款收入</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上级补助收入</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事业收入</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经营收入</w:t>
            </w:r>
          </w:p>
        </w:tc>
        <w:tc>
          <w:tcPr>
            <w:tcW w:w="1897"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附属单位上缴收入</w:t>
            </w:r>
          </w:p>
        </w:tc>
        <w:tc>
          <w:tcPr>
            <w:tcW w:w="1383"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其他收入</w:t>
            </w:r>
          </w:p>
        </w:tc>
      </w:tr>
      <w:tr>
        <w:tblPrEx>
          <w:tblCellMar>
            <w:top w:w="0" w:type="dxa"/>
            <w:left w:w="0" w:type="dxa"/>
            <w:bottom w:w="0" w:type="dxa"/>
            <w:right w:w="0" w:type="dxa"/>
          </w:tblCellMar>
        </w:tblPrEx>
        <w:trPr>
          <w:trHeight w:val="334" w:hRule="exact"/>
          <w:jc w:val="center"/>
        </w:trPr>
        <w:tc>
          <w:tcPr>
            <w:tcW w:w="1886"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功能分类科目编码</w:t>
            </w:r>
          </w:p>
        </w:tc>
        <w:tc>
          <w:tcPr>
            <w:tcW w:w="1300" w:type="dxa"/>
            <w:vMerge w:val="restart"/>
            <w:tcBorders>
              <w:top w:val="nil"/>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科目名称</w:t>
            </w:r>
          </w:p>
        </w:tc>
        <w:tc>
          <w:tcPr>
            <w:tcW w:w="1640"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897"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383"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r>
      <w:tr>
        <w:tblPrEx>
          <w:tblCellMar>
            <w:top w:w="0" w:type="dxa"/>
            <w:left w:w="0" w:type="dxa"/>
            <w:bottom w:w="0" w:type="dxa"/>
            <w:right w:w="0" w:type="dxa"/>
          </w:tblCellMar>
        </w:tblPrEx>
        <w:trPr>
          <w:trHeight w:val="312" w:hRule="atLeast"/>
          <w:jc w:val="center"/>
        </w:trPr>
        <w:tc>
          <w:tcPr>
            <w:tcW w:w="1886"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300" w:type="dxa"/>
            <w:vMerge w:val="continue"/>
            <w:tcBorders>
              <w:top w:val="nil"/>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897"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383"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r>
      <w:tr>
        <w:tblPrEx>
          <w:tblCellMar>
            <w:top w:w="0" w:type="dxa"/>
            <w:left w:w="0" w:type="dxa"/>
            <w:bottom w:w="0" w:type="dxa"/>
            <w:right w:w="0" w:type="dxa"/>
          </w:tblCellMar>
        </w:tblPrEx>
        <w:trPr>
          <w:trHeight w:val="450" w:hRule="atLeast"/>
          <w:jc w:val="center"/>
        </w:trPr>
        <w:tc>
          <w:tcPr>
            <w:tcW w:w="3186"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栏次</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1</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2</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3</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4</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5</w:t>
            </w:r>
          </w:p>
        </w:tc>
        <w:tc>
          <w:tcPr>
            <w:tcW w:w="1897"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6</w:t>
            </w:r>
          </w:p>
        </w:tc>
        <w:tc>
          <w:tcPr>
            <w:tcW w:w="1383"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7</w:t>
            </w:r>
          </w:p>
        </w:tc>
      </w:tr>
      <w:tr>
        <w:tblPrEx>
          <w:tblCellMar>
            <w:top w:w="0" w:type="dxa"/>
            <w:left w:w="0" w:type="dxa"/>
            <w:bottom w:w="0" w:type="dxa"/>
            <w:right w:w="0" w:type="dxa"/>
          </w:tblCellMar>
        </w:tblPrEx>
        <w:trPr>
          <w:trHeight w:val="450" w:hRule="atLeast"/>
          <w:jc w:val="center"/>
        </w:trPr>
        <w:tc>
          <w:tcPr>
            <w:tcW w:w="3186"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合计</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169.21</w:t>
            </w: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169.21</w:t>
            </w: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hint="default" w:ascii="Times New Roman" w:hAnsi="Times New Roman" w:eastAsia="仿宋_GB2312" w:cs="Times New Roman"/>
                <w:sz w:val="24"/>
                <w:szCs w:val="24"/>
                <w:lang w:val="en-US" w:eastAsia="zh-CN"/>
              </w:rPr>
            </w:pPr>
            <w:r>
              <w:rPr>
                <w:rFonts w:ascii="Times New Roman" w:hAnsi="Times New Roman" w:eastAsia="仿宋_GB2312" w:cs="Times New Roman"/>
              </w:rPr>
              <w:t>　</w:t>
            </w:r>
            <w:r>
              <w:rPr>
                <w:rFonts w:hint="eastAsia" w:ascii="Times New Roman" w:hAnsi="Times New Roman" w:eastAsia="仿宋_GB2312" w:cs="Times New Roman"/>
                <w:lang w:val="en-US" w:eastAsia="zh-CN"/>
              </w:rPr>
              <w:t>2080505</w:t>
            </w:r>
          </w:p>
        </w:tc>
        <w:tc>
          <w:tcPr>
            <w:tcW w:w="13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hint="eastAsia" w:ascii="Times New Roman" w:hAnsi="Times New Roman" w:eastAsia="仿宋_GB2312" w:cs="Times New Roman"/>
                <w:sz w:val="24"/>
                <w:szCs w:val="24"/>
                <w:lang w:eastAsia="zh-CN"/>
              </w:rPr>
            </w:pPr>
            <w:r>
              <w:rPr>
                <w:rFonts w:ascii="Times New Roman" w:hAnsi="Times New Roman" w:eastAsia="仿宋_GB2312" w:cs="Times New Roman"/>
              </w:rPr>
              <w:t>　</w:t>
            </w:r>
            <w:r>
              <w:rPr>
                <w:rFonts w:hint="eastAsia" w:ascii="Times New Roman" w:hAnsi="Times New Roman" w:eastAsia="仿宋_GB2312" w:cs="Times New Roman"/>
                <w:lang w:eastAsia="zh-CN"/>
              </w:rPr>
              <w:t>机关事业单位基本养老保险缴费支出</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11.24</w:t>
            </w: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11.24</w:t>
            </w: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hint="default" w:ascii="Times New Roman" w:hAnsi="Times New Roman" w:eastAsia="仿宋_GB2312" w:cs="Times New Roman"/>
                <w:sz w:val="24"/>
                <w:szCs w:val="24"/>
                <w:lang w:val="en-US" w:eastAsia="zh-CN"/>
              </w:rPr>
            </w:pPr>
            <w:r>
              <w:rPr>
                <w:rFonts w:ascii="Times New Roman" w:hAnsi="Times New Roman" w:eastAsia="仿宋_GB2312" w:cs="Times New Roman"/>
              </w:rPr>
              <w:t>　</w:t>
            </w:r>
            <w:r>
              <w:rPr>
                <w:rFonts w:hint="eastAsia" w:ascii="Times New Roman" w:hAnsi="Times New Roman" w:eastAsia="仿宋_GB2312" w:cs="Times New Roman"/>
                <w:lang w:val="en-US" w:eastAsia="zh-CN"/>
              </w:rPr>
              <w:t>2100402</w:t>
            </w:r>
          </w:p>
        </w:tc>
        <w:tc>
          <w:tcPr>
            <w:tcW w:w="13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hint="eastAsia" w:ascii="Times New Roman" w:hAnsi="Times New Roman" w:eastAsia="仿宋_GB2312" w:cs="Times New Roman"/>
                <w:sz w:val="24"/>
                <w:szCs w:val="24"/>
                <w:lang w:eastAsia="zh-CN"/>
              </w:rPr>
            </w:pPr>
            <w:r>
              <w:rPr>
                <w:rFonts w:ascii="Times New Roman" w:hAnsi="Times New Roman" w:eastAsia="仿宋_GB2312" w:cs="Times New Roman"/>
              </w:rPr>
              <w:t>　</w:t>
            </w:r>
            <w:r>
              <w:rPr>
                <w:rFonts w:hint="eastAsia" w:ascii="Times New Roman" w:hAnsi="Times New Roman" w:eastAsia="仿宋_GB2312" w:cs="Times New Roman"/>
                <w:lang w:eastAsia="zh-CN"/>
              </w:rPr>
              <w:t>卫生监督机构</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146.79</w:t>
            </w: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146.79</w:t>
            </w: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hint="default" w:ascii="Times New Roman" w:hAnsi="Times New Roman" w:eastAsia="仿宋_GB2312" w:cs="Times New Roman"/>
                <w:sz w:val="24"/>
                <w:szCs w:val="24"/>
                <w:lang w:val="en-US" w:eastAsia="zh-CN"/>
              </w:rPr>
            </w:pPr>
            <w:r>
              <w:rPr>
                <w:rFonts w:ascii="Times New Roman" w:hAnsi="Times New Roman" w:eastAsia="仿宋_GB2312" w:cs="Times New Roman"/>
              </w:rPr>
              <w:t>　</w:t>
            </w:r>
            <w:r>
              <w:rPr>
                <w:rFonts w:hint="eastAsia" w:ascii="Times New Roman" w:hAnsi="Times New Roman" w:eastAsia="仿宋_GB2312" w:cs="Times New Roman"/>
                <w:lang w:val="en-US" w:eastAsia="zh-CN"/>
              </w:rPr>
              <w:t>2100499</w:t>
            </w:r>
          </w:p>
        </w:tc>
        <w:tc>
          <w:tcPr>
            <w:tcW w:w="13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hint="eastAsia" w:ascii="Times New Roman" w:hAnsi="Times New Roman" w:eastAsia="仿宋_GB2312" w:cs="Times New Roman"/>
                <w:sz w:val="24"/>
                <w:szCs w:val="24"/>
                <w:lang w:eastAsia="zh-CN"/>
              </w:rPr>
            </w:pPr>
            <w:r>
              <w:rPr>
                <w:rFonts w:ascii="Times New Roman" w:hAnsi="Times New Roman" w:eastAsia="仿宋_GB2312" w:cs="Times New Roman"/>
              </w:rPr>
              <w:t>　</w:t>
            </w:r>
            <w:r>
              <w:rPr>
                <w:rFonts w:hint="eastAsia" w:ascii="Times New Roman" w:hAnsi="Times New Roman" w:eastAsia="仿宋_GB2312" w:cs="Times New Roman"/>
                <w:lang w:eastAsia="zh-CN"/>
              </w:rPr>
              <w:t>其他公共卫生支出</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5</w:t>
            </w: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5</w:t>
            </w: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hint="default" w:ascii="Times New Roman" w:hAnsi="Times New Roman" w:eastAsia="仿宋_GB2312" w:cs="Times New Roman"/>
                <w:sz w:val="24"/>
                <w:szCs w:val="24"/>
                <w:lang w:val="en-US" w:eastAsia="zh-CN"/>
              </w:rPr>
            </w:pPr>
            <w:r>
              <w:rPr>
                <w:rFonts w:ascii="Times New Roman" w:hAnsi="Times New Roman" w:eastAsia="仿宋_GB2312" w:cs="Times New Roman"/>
              </w:rPr>
              <w:t>　</w:t>
            </w:r>
            <w:r>
              <w:rPr>
                <w:rFonts w:hint="eastAsia" w:ascii="Times New Roman" w:hAnsi="Times New Roman" w:eastAsia="仿宋_GB2312" w:cs="Times New Roman"/>
                <w:lang w:val="en-US" w:eastAsia="zh-CN"/>
              </w:rPr>
              <w:t>2101101</w:t>
            </w:r>
          </w:p>
        </w:tc>
        <w:tc>
          <w:tcPr>
            <w:tcW w:w="13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hint="eastAsia" w:ascii="Times New Roman" w:hAnsi="Times New Roman" w:eastAsia="仿宋_GB2312" w:cs="Times New Roman"/>
                <w:sz w:val="24"/>
                <w:szCs w:val="24"/>
                <w:lang w:eastAsia="zh-CN"/>
              </w:rPr>
            </w:pPr>
            <w:r>
              <w:rPr>
                <w:rFonts w:ascii="Times New Roman" w:hAnsi="Times New Roman" w:eastAsia="仿宋_GB2312" w:cs="Times New Roman"/>
              </w:rPr>
              <w:t>　</w:t>
            </w:r>
            <w:r>
              <w:rPr>
                <w:rFonts w:hint="eastAsia" w:ascii="Times New Roman" w:hAnsi="Times New Roman" w:eastAsia="仿宋_GB2312" w:cs="Times New Roman"/>
                <w:lang w:eastAsia="zh-CN"/>
              </w:rPr>
              <w:t>行政事业单位医疗</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6.18</w:t>
            </w: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6.18</w:t>
            </w: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ascii="Times New Roman" w:hAnsi="Times New Roman" w:eastAsia="仿宋_GB2312" w:cs="Times New Roman"/>
                <w:sz w:val="24"/>
                <w:szCs w:val="24"/>
              </w:rPr>
            </w:pPr>
            <w:r>
              <w:rPr>
                <w:rFonts w:ascii="Times New Roman" w:hAnsi="Times New Roman" w:eastAsia="仿宋_GB2312" w:cs="Times New Roman"/>
              </w:rPr>
              <w:t>　</w:t>
            </w:r>
          </w:p>
        </w:tc>
        <w:tc>
          <w:tcPr>
            <w:tcW w:w="13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ascii="Times New Roman" w:hAnsi="Times New Roman" w:eastAsia="仿宋_GB2312" w:cs="Times New Roman"/>
                <w:sz w:val="24"/>
                <w:szCs w:val="24"/>
              </w:rPr>
            </w:pPr>
            <w:r>
              <w:rPr>
                <w:rFonts w:ascii="Times New Roman" w:hAnsi="Times New Roman" w:eastAsia="仿宋_GB2312" w:cs="Times New Roman"/>
              </w:rPr>
              <w:t>　</w:t>
            </w:r>
          </w:p>
        </w:tc>
        <w:tc>
          <w:tcPr>
            <w:tcW w:w="13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bl>
    <w:p>
      <w:pPr>
        <w:spacing w:before="120"/>
        <w:rPr>
          <w:rFonts w:ascii="Times New Roman" w:hAnsi="Times New Roman" w:eastAsia="仿宋_GB2312" w:cs="Times New Roman"/>
          <w:sz w:val="24"/>
          <w:szCs w:val="24"/>
        </w:rPr>
      </w:pPr>
      <w:r>
        <w:rPr>
          <w:rFonts w:ascii="Times New Roman" w:hAnsi="Times New Roman" w:eastAsia="仿宋_GB2312" w:cs="Times New Roman"/>
        </w:rPr>
        <w:t>注：本表反映部门本年度取得的各项收入情况。</w:t>
      </w:r>
    </w:p>
    <w:p>
      <w:pPr>
        <w:widowControl/>
        <w:jc w:val="left"/>
        <w:rPr>
          <w:rFonts w:ascii="Times New Roman" w:hAnsi="Times New Roman" w:eastAsia="黑体" w:cs="Times New Roman"/>
          <w:bCs/>
          <w:kern w:val="0"/>
          <w:sz w:val="32"/>
          <w:szCs w:val="32"/>
        </w:rPr>
      </w:pPr>
      <w:r>
        <w:rPr>
          <w:rFonts w:ascii="Times New Roman" w:hAnsi="Times New Roman" w:eastAsia="黑体" w:cs="Times New Roman"/>
          <w:bCs/>
          <w:kern w:val="0"/>
          <w:sz w:val="32"/>
          <w:szCs w:val="32"/>
        </w:rPr>
        <w:t xml:space="preserve"> </w:t>
      </w:r>
      <w:r>
        <w:rPr>
          <w:rFonts w:ascii="Times New Roman" w:hAnsi="Times New Roman" w:eastAsia="黑体" w:cs="Times New Roman"/>
          <w:bCs/>
          <w:kern w:val="0"/>
          <w:sz w:val="32"/>
          <w:szCs w:val="32"/>
        </w:rPr>
        <w:br w:type="page"/>
      </w:r>
    </w:p>
    <w:p>
      <w:pPr>
        <w:widowControl/>
        <w:jc w:val="center"/>
        <w:textAlignment w:val="center"/>
        <w:rPr>
          <w:rFonts w:ascii="Times New Roman" w:hAnsi="Times New Roman" w:eastAsia="黑体" w:cs="Times New Roman"/>
          <w:color w:val="000000"/>
          <w:kern w:val="0"/>
          <w:sz w:val="32"/>
          <w:szCs w:val="32"/>
          <w:lang w:bidi="ar"/>
        </w:rPr>
      </w:pPr>
    </w:p>
    <w:p>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支出决算表</w:t>
      </w:r>
    </w:p>
    <w:p>
      <w:pPr>
        <w:widowControl/>
        <w:tabs>
          <w:tab w:val="left" w:pos="1236"/>
          <w:tab w:val="left" w:pos="1499"/>
          <w:tab w:val="left" w:pos="2980"/>
          <w:tab w:val="left" w:pos="4932"/>
          <w:tab w:val="left" w:pos="6923"/>
          <w:tab w:val="left" w:pos="8914"/>
          <w:tab w:val="left" w:pos="10905"/>
          <w:tab w:val="left" w:pos="12896"/>
        </w:tabs>
        <w:jc w:val="right"/>
        <w:rPr>
          <w:rFonts w:ascii="Times New Roman" w:hAnsi="Times New Roman" w:eastAsia="仿宋_GB2312" w:cs="Times New Roman"/>
          <w:color w:val="000000"/>
          <w:kern w:val="0"/>
          <w:sz w:val="20"/>
          <w:szCs w:val="20"/>
        </w:rPr>
      </w:pP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公开03表</w:t>
      </w:r>
    </w:p>
    <w:p>
      <w:pPr>
        <w:widowControl/>
        <w:tabs>
          <w:tab w:val="left" w:pos="1236"/>
          <w:tab w:val="left" w:pos="1499"/>
          <w:tab w:val="left" w:pos="2980"/>
          <w:tab w:val="left" w:pos="4932"/>
          <w:tab w:val="left" w:pos="6923"/>
          <w:tab w:val="left" w:pos="8914"/>
          <w:tab w:val="left" w:pos="10905"/>
          <w:tab w:val="left" w:pos="12896"/>
        </w:tabs>
        <w:jc w:val="right"/>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部门：</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　</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单位：万元</w:t>
      </w:r>
    </w:p>
    <w:tbl>
      <w:tblPr>
        <w:tblStyle w:val="10"/>
        <w:tblW w:w="4997" w:type="pct"/>
        <w:jc w:val="center"/>
        <w:tblLayout w:type="autofit"/>
        <w:tblCellMar>
          <w:top w:w="0" w:type="dxa"/>
          <w:left w:w="108" w:type="dxa"/>
          <w:bottom w:w="0" w:type="dxa"/>
          <w:right w:w="108" w:type="dxa"/>
        </w:tblCellMar>
      </w:tblPr>
      <w:tblGrid>
        <w:gridCol w:w="2073"/>
        <w:gridCol w:w="3786"/>
        <w:gridCol w:w="1527"/>
        <w:gridCol w:w="984"/>
        <w:gridCol w:w="984"/>
        <w:gridCol w:w="1527"/>
        <w:gridCol w:w="984"/>
        <w:gridCol w:w="2346"/>
      </w:tblGrid>
      <w:tr>
        <w:tblPrEx>
          <w:tblCellMar>
            <w:top w:w="0" w:type="dxa"/>
            <w:left w:w="108" w:type="dxa"/>
            <w:bottom w:w="0" w:type="dxa"/>
            <w:right w:w="108" w:type="dxa"/>
          </w:tblCellMar>
        </w:tblPrEx>
        <w:trPr>
          <w:trHeight w:val="595" w:hRule="atLeast"/>
          <w:jc w:val="center"/>
        </w:trPr>
        <w:tc>
          <w:tcPr>
            <w:tcW w:w="1322" w:type="pct"/>
            <w:gridSpan w:val="2"/>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项    目</w:t>
            </w:r>
          </w:p>
        </w:tc>
        <w:tc>
          <w:tcPr>
            <w:tcW w:w="660"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本年支出合计</w:t>
            </w:r>
          </w:p>
        </w:tc>
        <w:tc>
          <w:tcPr>
            <w:tcW w:w="469"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基本支出</w:t>
            </w:r>
          </w:p>
        </w:tc>
        <w:tc>
          <w:tcPr>
            <w:tcW w:w="469"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项目支出</w:t>
            </w:r>
          </w:p>
        </w:tc>
        <w:tc>
          <w:tcPr>
            <w:tcW w:w="660"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上缴上级支出</w:t>
            </w:r>
          </w:p>
        </w:tc>
        <w:tc>
          <w:tcPr>
            <w:tcW w:w="469"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经营支出</w:t>
            </w:r>
          </w:p>
        </w:tc>
        <w:tc>
          <w:tcPr>
            <w:tcW w:w="948"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对附属单位补助支出</w:t>
            </w:r>
          </w:p>
        </w:tc>
      </w:tr>
      <w:tr>
        <w:tblPrEx>
          <w:tblCellMar>
            <w:top w:w="0" w:type="dxa"/>
            <w:left w:w="108" w:type="dxa"/>
            <w:bottom w:w="0" w:type="dxa"/>
            <w:right w:w="108" w:type="dxa"/>
          </w:tblCellMar>
        </w:tblPrEx>
        <w:trPr>
          <w:trHeight w:val="312" w:hRule="exact"/>
          <w:jc w:val="center"/>
        </w:trPr>
        <w:tc>
          <w:tcPr>
            <w:tcW w:w="852"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功能分类科目编码</w:t>
            </w:r>
          </w:p>
        </w:tc>
        <w:tc>
          <w:tcPr>
            <w:tcW w:w="470" w:type="pct"/>
            <w:vMerge w:val="restart"/>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科目名称</w:t>
            </w:r>
          </w:p>
        </w:tc>
        <w:tc>
          <w:tcPr>
            <w:tcW w:w="660"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b/>
                <w:bCs/>
                <w:kern w:val="0"/>
                <w:sz w:val="24"/>
                <w:szCs w:val="24"/>
              </w:rPr>
            </w:pPr>
          </w:p>
        </w:tc>
        <w:tc>
          <w:tcPr>
            <w:tcW w:w="469"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b/>
                <w:bCs/>
                <w:kern w:val="0"/>
                <w:sz w:val="24"/>
                <w:szCs w:val="24"/>
              </w:rPr>
            </w:pPr>
          </w:p>
        </w:tc>
        <w:tc>
          <w:tcPr>
            <w:tcW w:w="469"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b/>
                <w:bCs/>
                <w:kern w:val="0"/>
                <w:sz w:val="24"/>
                <w:szCs w:val="24"/>
              </w:rPr>
            </w:pPr>
          </w:p>
        </w:tc>
        <w:tc>
          <w:tcPr>
            <w:tcW w:w="660"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b/>
                <w:bCs/>
                <w:kern w:val="0"/>
                <w:sz w:val="24"/>
                <w:szCs w:val="24"/>
              </w:rPr>
            </w:pPr>
          </w:p>
        </w:tc>
        <w:tc>
          <w:tcPr>
            <w:tcW w:w="469"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b/>
                <w:bCs/>
                <w:kern w:val="0"/>
                <w:sz w:val="24"/>
                <w:szCs w:val="24"/>
              </w:rPr>
            </w:pPr>
          </w:p>
        </w:tc>
        <w:tc>
          <w:tcPr>
            <w:tcW w:w="948"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b/>
                <w:bCs/>
                <w:kern w:val="0"/>
                <w:sz w:val="24"/>
                <w:szCs w:val="24"/>
              </w:rPr>
            </w:pPr>
          </w:p>
        </w:tc>
      </w:tr>
      <w:tr>
        <w:tblPrEx>
          <w:tblCellMar>
            <w:top w:w="0" w:type="dxa"/>
            <w:left w:w="108" w:type="dxa"/>
            <w:bottom w:w="0" w:type="dxa"/>
            <w:right w:w="108" w:type="dxa"/>
          </w:tblCellMar>
        </w:tblPrEx>
        <w:trPr>
          <w:trHeight w:val="595" w:hRule="atLeast"/>
          <w:jc w:val="center"/>
        </w:trPr>
        <w:tc>
          <w:tcPr>
            <w:tcW w:w="852"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 w:val="24"/>
                <w:szCs w:val="24"/>
              </w:rPr>
            </w:pPr>
          </w:p>
        </w:tc>
        <w:tc>
          <w:tcPr>
            <w:tcW w:w="470" w:type="pct"/>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 w:val="24"/>
                <w:szCs w:val="24"/>
              </w:rPr>
            </w:pPr>
          </w:p>
        </w:tc>
        <w:tc>
          <w:tcPr>
            <w:tcW w:w="660"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 w:val="24"/>
                <w:szCs w:val="24"/>
              </w:rPr>
            </w:pPr>
          </w:p>
        </w:tc>
        <w:tc>
          <w:tcPr>
            <w:tcW w:w="469"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 w:val="24"/>
                <w:szCs w:val="24"/>
              </w:rPr>
            </w:pPr>
          </w:p>
        </w:tc>
        <w:tc>
          <w:tcPr>
            <w:tcW w:w="469"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 w:val="24"/>
                <w:szCs w:val="24"/>
              </w:rPr>
            </w:pPr>
          </w:p>
        </w:tc>
        <w:tc>
          <w:tcPr>
            <w:tcW w:w="660"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 w:val="24"/>
                <w:szCs w:val="24"/>
              </w:rPr>
            </w:pPr>
          </w:p>
        </w:tc>
        <w:tc>
          <w:tcPr>
            <w:tcW w:w="469"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 w:val="24"/>
                <w:szCs w:val="24"/>
              </w:rPr>
            </w:pPr>
          </w:p>
        </w:tc>
        <w:tc>
          <w:tcPr>
            <w:tcW w:w="948"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 w:val="24"/>
                <w:szCs w:val="24"/>
              </w:rPr>
            </w:pPr>
          </w:p>
        </w:tc>
      </w:tr>
      <w:tr>
        <w:tblPrEx>
          <w:tblCellMar>
            <w:top w:w="0" w:type="dxa"/>
            <w:left w:w="108" w:type="dxa"/>
            <w:bottom w:w="0" w:type="dxa"/>
            <w:right w:w="108" w:type="dxa"/>
          </w:tblCellMar>
        </w:tblPrEx>
        <w:trPr>
          <w:trHeight w:val="595" w:hRule="atLeast"/>
          <w:jc w:val="center"/>
        </w:trPr>
        <w:tc>
          <w:tcPr>
            <w:tcW w:w="1322" w:type="pct"/>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栏次</w:t>
            </w:r>
          </w:p>
        </w:tc>
        <w:tc>
          <w:tcPr>
            <w:tcW w:w="660" w:type="pct"/>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1</w:t>
            </w:r>
          </w:p>
        </w:tc>
        <w:tc>
          <w:tcPr>
            <w:tcW w:w="469" w:type="pct"/>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2</w:t>
            </w:r>
          </w:p>
        </w:tc>
        <w:tc>
          <w:tcPr>
            <w:tcW w:w="469" w:type="pct"/>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3</w:t>
            </w:r>
          </w:p>
        </w:tc>
        <w:tc>
          <w:tcPr>
            <w:tcW w:w="660" w:type="pct"/>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4</w:t>
            </w:r>
          </w:p>
        </w:tc>
        <w:tc>
          <w:tcPr>
            <w:tcW w:w="469" w:type="pct"/>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5</w:t>
            </w:r>
          </w:p>
        </w:tc>
        <w:tc>
          <w:tcPr>
            <w:tcW w:w="948" w:type="pct"/>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6</w:t>
            </w:r>
          </w:p>
        </w:tc>
      </w:tr>
      <w:tr>
        <w:tblPrEx>
          <w:tblCellMar>
            <w:top w:w="0" w:type="dxa"/>
            <w:left w:w="108" w:type="dxa"/>
            <w:bottom w:w="0" w:type="dxa"/>
            <w:right w:w="108" w:type="dxa"/>
          </w:tblCellMar>
        </w:tblPrEx>
        <w:trPr>
          <w:trHeight w:val="595" w:hRule="atLeast"/>
          <w:jc w:val="center"/>
        </w:trPr>
        <w:tc>
          <w:tcPr>
            <w:tcW w:w="1322" w:type="pct"/>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合计</w:t>
            </w:r>
          </w:p>
        </w:tc>
        <w:tc>
          <w:tcPr>
            <w:tcW w:w="660"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169.21</w:t>
            </w: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164.21</w:t>
            </w: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5</w:t>
            </w:r>
            <w:r>
              <w:rPr>
                <w:rFonts w:ascii="Times New Roman" w:hAnsi="Times New Roman" w:eastAsia="仿宋_GB2312" w:cs="Times New Roman"/>
                <w:kern w:val="0"/>
                <w:sz w:val="24"/>
                <w:szCs w:val="24"/>
              </w:rPr>
              <w:t>　</w:t>
            </w:r>
          </w:p>
        </w:tc>
        <w:tc>
          <w:tcPr>
            <w:tcW w:w="660"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948"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tblPrEx>
          <w:tblCellMar>
            <w:top w:w="0" w:type="dxa"/>
            <w:left w:w="108" w:type="dxa"/>
            <w:bottom w:w="0" w:type="dxa"/>
            <w:right w:w="108" w:type="dxa"/>
          </w:tblCellMar>
        </w:tblPrEx>
        <w:trPr>
          <w:trHeight w:val="595" w:hRule="atLeast"/>
          <w:jc w:val="center"/>
        </w:trPr>
        <w:tc>
          <w:tcPr>
            <w:tcW w:w="852"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rPr>
                <w:rFonts w:hint="default" w:ascii="Times New Roman" w:hAnsi="Times New Roman" w:eastAsia="仿宋_GB2312" w:cs="Times New Roman"/>
                <w:kern w:val="2"/>
                <w:sz w:val="24"/>
                <w:szCs w:val="24"/>
                <w:lang w:val="en-US" w:eastAsia="zh-CN" w:bidi="ar-SA"/>
              </w:rPr>
            </w:pPr>
            <w:r>
              <w:rPr>
                <w:rFonts w:ascii="Times New Roman" w:hAnsi="Times New Roman" w:eastAsia="仿宋_GB2312" w:cs="Times New Roman"/>
              </w:rPr>
              <w:t>　</w:t>
            </w:r>
            <w:r>
              <w:rPr>
                <w:rFonts w:hint="eastAsia" w:ascii="Times New Roman" w:hAnsi="Times New Roman" w:eastAsia="仿宋_GB2312" w:cs="Times New Roman"/>
                <w:lang w:val="en-US" w:eastAsia="zh-CN"/>
              </w:rPr>
              <w:t>2080505</w:t>
            </w:r>
          </w:p>
        </w:tc>
        <w:tc>
          <w:tcPr>
            <w:tcW w:w="470" w:type="pct"/>
            <w:tcBorders>
              <w:top w:val="nil"/>
              <w:left w:val="nil"/>
              <w:bottom w:val="single" w:color="auto" w:sz="4" w:space="0"/>
              <w:right w:val="single" w:color="auto" w:sz="4" w:space="0"/>
            </w:tcBorders>
            <w:shd w:val="clear" w:color="000000" w:fill="FFFFFF"/>
            <w:noWrap/>
            <w:vAlign w:val="center"/>
          </w:tcPr>
          <w:p>
            <w:pPr>
              <w:rPr>
                <w:rFonts w:hint="eastAsia" w:ascii="Times New Roman" w:hAnsi="Times New Roman" w:eastAsia="仿宋_GB2312" w:cs="Times New Roman"/>
                <w:kern w:val="2"/>
                <w:sz w:val="24"/>
                <w:szCs w:val="24"/>
                <w:lang w:val="en-US" w:eastAsia="zh-CN" w:bidi="ar-SA"/>
              </w:rPr>
            </w:pPr>
            <w:r>
              <w:rPr>
                <w:rFonts w:ascii="Times New Roman" w:hAnsi="Times New Roman" w:eastAsia="仿宋_GB2312" w:cs="Times New Roman"/>
              </w:rPr>
              <w:t>　</w:t>
            </w:r>
            <w:r>
              <w:rPr>
                <w:rFonts w:hint="eastAsia" w:ascii="Times New Roman" w:hAnsi="Times New Roman" w:eastAsia="仿宋_GB2312" w:cs="Times New Roman"/>
                <w:lang w:eastAsia="zh-CN"/>
              </w:rPr>
              <w:t>机关事业单位基本养老保险缴费支出</w:t>
            </w:r>
          </w:p>
        </w:tc>
        <w:tc>
          <w:tcPr>
            <w:tcW w:w="660"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11.24</w:t>
            </w: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11.24</w:t>
            </w: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660"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948"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tblPrEx>
          <w:tblCellMar>
            <w:top w:w="0" w:type="dxa"/>
            <w:left w:w="108" w:type="dxa"/>
            <w:bottom w:w="0" w:type="dxa"/>
            <w:right w:w="108" w:type="dxa"/>
          </w:tblCellMar>
        </w:tblPrEx>
        <w:trPr>
          <w:trHeight w:val="595" w:hRule="atLeast"/>
          <w:jc w:val="center"/>
        </w:trPr>
        <w:tc>
          <w:tcPr>
            <w:tcW w:w="852"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rPr>
                <w:rFonts w:hint="default" w:ascii="Times New Roman" w:hAnsi="Times New Roman" w:eastAsia="仿宋_GB2312" w:cs="Times New Roman"/>
                <w:kern w:val="2"/>
                <w:sz w:val="24"/>
                <w:szCs w:val="24"/>
                <w:lang w:val="en-US" w:eastAsia="zh-CN" w:bidi="ar-SA"/>
              </w:rPr>
            </w:pPr>
            <w:r>
              <w:rPr>
                <w:rFonts w:ascii="Times New Roman" w:hAnsi="Times New Roman" w:eastAsia="仿宋_GB2312" w:cs="Times New Roman"/>
              </w:rPr>
              <w:t>　</w:t>
            </w:r>
            <w:r>
              <w:rPr>
                <w:rFonts w:hint="eastAsia" w:ascii="Times New Roman" w:hAnsi="Times New Roman" w:eastAsia="仿宋_GB2312" w:cs="Times New Roman"/>
                <w:lang w:val="en-US" w:eastAsia="zh-CN"/>
              </w:rPr>
              <w:t>2100402</w:t>
            </w:r>
          </w:p>
        </w:tc>
        <w:tc>
          <w:tcPr>
            <w:tcW w:w="470" w:type="pct"/>
            <w:tcBorders>
              <w:top w:val="nil"/>
              <w:left w:val="nil"/>
              <w:bottom w:val="single" w:color="auto" w:sz="4" w:space="0"/>
              <w:right w:val="single" w:color="auto" w:sz="4" w:space="0"/>
            </w:tcBorders>
            <w:shd w:val="clear" w:color="000000" w:fill="FFFFFF"/>
            <w:noWrap/>
            <w:vAlign w:val="center"/>
          </w:tcPr>
          <w:p>
            <w:pPr>
              <w:rPr>
                <w:rFonts w:hint="eastAsia" w:ascii="Times New Roman" w:hAnsi="Times New Roman" w:eastAsia="仿宋_GB2312" w:cs="Times New Roman"/>
                <w:kern w:val="2"/>
                <w:sz w:val="24"/>
                <w:szCs w:val="24"/>
                <w:lang w:val="en-US" w:eastAsia="zh-CN" w:bidi="ar-SA"/>
              </w:rPr>
            </w:pPr>
            <w:r>
              <w:rPr>
                <w:rFonts w:ascii="Times New Roman" w:hAnsi="Times New Roman" w:eastAsia="仿宋_GB2312" w:cs="Times New Roman"/>
              </w:rPr>
              <w:t>　</w:t>
            </w:r>
            <w:r>
              <w:rPr>
                <w:rFonts w:hint="eastAsia" w:ascii="Times New Roman" w:hAnsi="Times New Roman" w:eastAsia="仿宋_GB2312" w:cs="Times New Roman"/>
                <w:lang w:eastAsia="zh-CN"/>
              </w:rPr>
              <w:t>卫生监督机构</w:t>
            </w:r>
          </w:p>
        </w:tc>
        <w:tc>
          <w:tcPr>
            <w:tcW w:w="660"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146.79</w:t>
            </w: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146.79</w:t>
            </w: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660"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948"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tblPrEx>
          <w:tblCellMar>
            <w:top w:w="0" w:type="dxa"/>
            <w:left w:w="108" w:type="dxa"/>
            <w:bottom w:w="0" w:type="dxa"/>
            <w:right w:w="108" w:type="dxa"/>
          </w:tblCellMar>
        </w:tblPrEx>
        <w:trPr>
          <w:trHeight w:val="595" w:hRule="atLeast"/>
          <w:jc w:val="center"/>
        </w:trPr>
        <w:tc>
          <w:tcPr>
            <w:tcW w:w="852"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rPr>
                <w:rFonts w:hint="default" w:ascii="Times New Roman" w:hAnsi="Times New Roman" w:eastAsia="仿宋_GB2312" w:cs="Times New Roman"/>
                <w:kern w:val="2"/>
                <w:sz w:val="24"/>
                <w:szCs w:val="24"/>
                <w:lang w:val="en-US" w:eastAsia="zh-CN" w:bidi="ar-SA"/>
              </w:rPr>
            </w:pPr>
            <w:r>
              <w:rPr>
                <w:rFonts w:ascii="Times New Roman" w:hAnsi="Times New Roman" w:eastAsia="仿宋_GB2312" w:cs="Times New Roman"/>
              </w:rPr>
              <w:t>　</w:t>
            </w:r>
            <w:r>
              <w:rPr>
                <w:rFonts w:hint="eastAsia" w:ascii="Times New Roman" w:hAnsi="Times New Roman" w:eastAsia="仿宋_GB2312" w:cs="Times New Roman"/>
                <w:lang w:val="en-US" w:eastAsia="zh-CN"/>
              </w:rPr>
              <w:t>2100499</w:t>
            </w:r>
          </w:p>
        </w:tc>
        <w:tc>
          <w:tcPr>
            <w:tcW w:w="470" w:type="pct"/>
            <w:tcBorders>
              <w:top w:val="nil"/>
              <w:left w:val="nil"/>
              <w:bottom w:val="single" w:color="auto" w:sz="4" w:space="0"/>
              <w:right w:val="single" w:color="auto" w:sz="4" w:space="0"/>
            </w:tcBorders>
            <w:shd w:val="clear" w:color="000000" w:fill="FFFFFF"/>
            <w:noWrap/>
            <w:vAlign w:val="center"/>
          </w:tcPr>
          <w:p>
            <w:pPr>
              <w:rPr>
                <w:rFonts w:hint="eastAsia" w:ascii="Times New Roman" w:hAnsi="Times New Roman" w:eastAsia="仿宋_GB2312" w:cs="Times New Roman"/>
                <w:kern w:val="2"/>
                <w:sz w:val="24"/>
                <w:szCs w:val="24"/>
                <w:lang w:val="en-US" w:eastAsia="zh-CN" w:bidi="ar-SA"/>
              </w:rPr>
            </w:pPr>
            <w:r>
              <w:rPr>
                <w:rFonts w:ascii="Times New Roman" w:hAnsi="Times New Roman" w:eastAsia="仿宋_GB2312" w:cs="Times New Roman"/>
              </w:rPr>
              <w:t>　</w:t>
            </w:r>
            <w:r>
              <w:rPr>
                <w:rFonts w:hint="eastAsia" w:ascii="Times New Roman" w:hAnsi="Times New Roman" w:eastAsia="仿宋_GB2312" w:cs="Times New Roman"/>
                <w:lang w:eastAsia="zh-CN"/>
              </w:rPr>
              <w:t>其他公共卫生支出</w:t>
            </w:r>
          </w:p>
        </w:tc>
        <w:tc>
          <w:tcPr>
            <w:tcW w:w="660"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5</w:t>
            </w: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5</w:t>
            </w:r>
            <w:r>
              <w:rPr>
                <w:rFonts w:ascii="Times New Roman" w:hAnsi="Times New Roman" w:eastAsia="仿宋_GB2312" w:cs="Times New Roman"/>
                <w:kern w:val="0"/>
                <w:sz w:val="24"/>
                <w:szCs w:val="24"/>
              </w:rPr>
              <w:t>　</w:t>
            </w:r>
          </w:p>
        </w:tc>
        <w:tc>
          <w:tcPr>
            <w:tcW w:w="660"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948"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tblPrEx>
          <w:tblCellMar>
            <w:top w:w="0" w:type="dxa"/>
            <w:left w:w="108" w:type="dxa"/>
            <w:bottom w:w="0" w:type="dxa"/>
            <w:right w:w="108" w:type="dxa"/>
          </w:tblCellMar>
        </w:tblPrEx>
        <w:trPr>
          <w:trHeight w:val="595" w:hRule="atLeast"/>
          <w:jc w:val="center"/>
        </w:trPr>
        <w:tc>
          <w:tcPr>
            <w:tcW w:w="852"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rPr>
                <w:rFonts w:hint="default" w:ascii="Times New Roman" w:hAnsi="Times New Roman" w:eastAsia="仿宋_GB2312" w:cs="Times New Roman"/>
                <w:kern w:val="2"/>
                <w:sz w:val="24"/>
                <w:szCs w:val="24"/>
                <w:lang w:val="en-US" w:eastAsia="zh-CN" w:bidi="ar-SA"/>
              </w:rPr>
            </w:pPr>
            <w:r>
              <w:rPr>
                <w:rFonts w:ascii="Times New Roman" w:hAnsi="Times New Roman" w:eastAsia="仿宋_GB2312" w:cs="Times New Roman"/>
              </w:rPr>
              <w:t>　</w:t>
            </w:r>
            <w:r>
              <w:rPr>
                <w:rFonts w:hint="eastAsia" w:ascii="Times New Roman" w:hAnsi="Times New Roman" w:eastAsia="仿宋_GB2312" w:cs="Times New Roman"/>
                <w:lang w:val="en-US" w:eastAsia="zh-CN"/>
              </w:rPr>
              <w:t>2101101</w:t>
            </w:r>
          </w:p>
        </w:tc>
        <w:tc>
          <w:tcPr>
            <w:tcW w:w="470" w:type="pct"/>
            <w:tcBorders>
              <w:top w:val="nil"/>
              <w:left w:val="nil"/>
              <w:bottom w:val="single" w:color="auto" w:sz="4" w:space="0"/>
              <w:right w:val="single" w:color="auto" w:sz="4" w:space="0"/>
            </w:tcBorders>
            <w:shd w:val="clear" w:color="000000" w:fill="FFFFFF"/>
            <w:noWrap/>
            <w:vAlign w:val="center"/>
          </w:tcPr>
          <w:p>
            <w:pPr>
              <w:rPr>
                <w:rFonts w:hint="eastAsia" w:ascii="Times New Roman" w:hAnsi="Times New Roman" w:eastAsia="仿宋_GB2312" w:cs="Times New Roman"/>
                <w:kern w:val="2"/>
                <w:sz w:val="24"/>
                <w:szCs w:val="24"/>
                <w:lang w:val="en-US" w:eastAsia="zh-CN" w:bidi="ar-SA"/>
              </w:rPr>
            </w:pPr>
            <w:r>
              <w:rPr>
                <w:rFonts w:ascii="Times New Roman" w:hAnsi="Times New Roman" w:eastAsia="仿宋_GB2312" w:cs="Times New Roman"/>
              </w:rPr>
              <w:t>　</w:t>
            </w:r>
            <w:r>
              <w:rPr>
                <w:rFonts w:hint="eastAsia" w:ascii="Times New Roman" w:hAnsi="Times New Roman" w:eastAsia="仿宋_GB2312" w:cs="Times New Roman"/>
                <w:lang w:eastAsia="zh-CN"/>
              </w:rPr>
              <w:t>行政事业单位医疗</w:t>
            </w:r>
          </w:p>
        </w:tc>
        <w:tc>
          <w:tcPr>
            <w:tcW w:w="660"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6.18</w:t>
            </w: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6.18</w:t>
            </w: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660"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948"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tblPrEx>
          <w:tblCellMar>
            <w:top w:w="0" w:type="dxa"/>
            <w:left w:w="108" w:type="dxa"/>
            <w:bottom w:w="0" w:type="dxa"/>
            <w:right w:w="108" w:type="dxa"/>
          </w:tblCellMar>
        </w:tblPrEx>
        <w:trPr>
          <w:trHeight w:val="595" w:hRule="atLeast"/>
          <w:jc w:val="center"/>
        </w:trPr>
        <w:tc>
          <w:tcPr>
            <w:tcW w:w="852"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70" w:type="pct"/>
            <w:tcBorders>
              <w:top w:val="nil"/>
              <w:left w:val="nil"/>
              <w:bottom w:val="single" w:color="auto" w:sz="4" w:space="0"/>
              <w:right w:val="single" w:color="auto" w:sz="4" w:space="0"/>
            </w:tcBorders>
            <w:shd w:val="clear" w:color="000000" w:fill="FFFFFF"/>
            <w:noWrap/>
            <w:vAlign w:val="center"/>
          </w:tcPr>
          <w:p>
            <w:pPr>
              <w:widowControl/>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660"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660"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948"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tblPrEx>
          <w:tblCellMar>
            <w:top w:w="0" w:type="dxa"/>
            <w:left w:w="108" w:type="dxa"/>
            <w:bottom w:w="0" w:type="dxa"/>
            <w:right w:w="108" w:type="dxa"/>
          </w:tblCellMar>
        </w:tblPrEx>
        <w:trPr>
          <w:trHeight w:val="595" w:hRule="atLeast"/>
          <w:jc w:val="center"/>
        </w:trPr>
        <w:tc>
          <w:tcPr>
            <w:tcW w:w="852"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70" w:type="pct"/>
            <w:tcBorders>
              <w:top w:val="nil"/>
              <w:left w:val="nil"/>
              <w:bottom w:val="single" w:color="auto" w:sz="4" w:space="0"/>
              <w:right w:val="single" w:color="auto" w:sz="4" w:space="0"/>
            </w:tcBorders>
            <w:shd w:val="clear" w:color="000000" w:fill="FFFFFF"/>
            <w:noWrap/>
            <w:vAlign w:val="center"/>
          </w:tcPr>
          <w:p>
            <w:pPr>
              <w:widowControl/>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660"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660"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948"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bl>
    <w:p>
      <w:pPr>
        <w:widowControl/>
        <w:spacing w:before="120"/>
        <w:jc w:val="left"/>
        <w:rPr>
          <w:rFonts w:ascii="Times New Roman" w:hAnsi="Times New Roman" w:eastAsia="方正小标宋_GBK" w:cs="Times New Roman"/>
          <w:color w:val="000000"/>
          <w:kern w:val="0"/>
          <w:sz w:val="36"/>
          <w:szCs w:val="21"/>
        </w:rPr>
      </w:pPr>
      <w:r>
        <w:rPr>
          <w:rFonts w:ascii="Times New Roman" w:hAnsi="Times New Roman" w:eastAsia="仿宋_GB2312" w:cs="Times New Roman"/>
          <w:kern w:val="0"/>
          <w:sz w:val="24"/>
          <w:szCs w:val="24"/>
        </w:rPr>
        <w:t>注：本表反映部门本年度各项支出情况。</w:t>
      </w:r>
    </w:p>
    <w:p>
      <w:pPr>
        <w:widowControl/>
        <w:tabs>
          <w:tab w:val="left" w:pos="3595"/>
          <w:tab w:val="left" w:pos="4031"/>
          <w:tab w:val="left" w:pos="5605"/>
          <w:tab w:val="left" w:pos="9152"/>
          <w:tab w:val="left" w:pos="9587"/>
          <w:tab w:val="left" w:pos="11160"/>
          <w:tab w:val="left" w:pos="12554"/>
          <w:tab w:val="left" w:pos="13948"/>
        </w:tabs>
        <w:jc w:val="right"/>
        <w:rPr>
          <w:rFonts w:ascii="Times New Roman" w:hAnsi="Times New Roman" w:eastAsia="宋体" w:cs="Times New Roman"/>
          <w:kern w:val="0"/>
          <w:sz w:val="24"/>
          <w:szCs w:val="24"/>
        </w:rPr>
      </w:pPr>
      <w:bookmarkStart w:id="0" w:name="RANGE!A1:I22"/>
      <w:bookmarkEnd w:id="0"/>
      <w:bookmarkStart w:id="1" w:name="RANGE!A1:F16"/>
      <w:r>
        <w:rPr>
          <w:rFonts w:ascii="Times New Roman" w:hAnsi="Times New Roman" w:eastAsia="黑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p>
    <w:p>
      <w:pPr>
        <w:widowControl/>
        <w:spacing w:line="400" w:lineRule="exact"/>
        <w:jc w:val="center"/>
        <w:textAlignment w:val="center"/>
        <w:rPr>
          <w:rFonts w:ascii="Times New Roman" w:hAnsi="Times New Roman" w:eastAsia="黑体" w:cs="Times New Roman"/>
          <w:color w:val="000000"/>
          <w:kern w:val="0"/>
          <w:sz w:val="32"/>
          <w:szCs w:val="32"/>
          <w:lang w:bidi="ar"/>
        </w:rPr>
      </w:pPr>
    </w:p>
    <w:p>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财政拨款收入支出决算总表</w:t>
      </w:r>
    </w:p>
    <w:p>
      <w:pPr>
        <w:widowControl/>
        <w:tabs>
          <w:tab w:val="left" w:pos="3595"/>
          <w:tab w:val="left" w:pos="4031"/>
          <w:tab w:val="left" w:pos="5109"/>
          <w:tab w:val="left" w:pos="9152"/>
          <w:tab w:val="left" w:pos="9587"/>
          <w:tab w:val="left" w:pos="11160"/>
          <w:tab w:val="left" w:pos="12554"/>
          <w:tab w:val="left" w:pos="13948"/>
        </w:tabs>
        <w:jc w:val="center"/>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 xml:space="preserve">                                                                                                                  公开04表</w:t>
      </w:r>
    </w:p>
    <w:p>
      <w:pPr>
        <w:widowControl/>
        <w:tabs>
          <w:tab w:val="left" w:pos="3595"/>
          <w:tab w:val="left" w:pos="4031"/>
          <w:tab w:val="left" w:pos="5109"/>
          <w:tab w:val="left" w:pos="9152"/>
          <w:tab w:val="left" w:pos="9587"/>
          <w:tab w:val="left" w:pos="11160"/>
          <w:tab w:val="left" w:pos="12554"/>
          <w:tab w:val="left" w:pos="13948"/>
        </w:tabs>
        <w:jc w:val="center"/>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部门：</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color w:val="000000"/>
          <w:kern w:val="0"/>
          <w:sz w:val="20"/>
          <w:szCs w:val="20"/>
        </w:rPr>
        <w:t>单位：万元</w:t>
      </w:r>
    </w:p>
    <w:tbl>
      <w:tblPr>
        <w:tblStyle w:val="10"/>
        <w:tblW w:w="0" w:type="auto"/>
        <w:jc w:val="center"/>
        <w:tblLayout w:type="autofit"/>
        <w:tblCellMar>
          <w:top w:w="0" w:type="dxa"/>
          <w:left w:w="108" w:type="dxa"/>
          <w:bottom w:w="0" w:type="dxa"/>
          <w:right w:w="108" w:type="dxa"/>
        </w:tblCellMar>
      </w:tblPr>
      <w:tblGrid>
        <w:gridCol w:w="3516"/>
        <w:gridCol w:w="616"/>
        <w:gridCol w:w="821"/>
        <w:gridCol w:w="2856"/>
        <w:gridCol w:w="616"/>
        <w:gridCol w:w="1041"/>
        <w:gridCol w:w="1614"/>
        <w:gridCol w:w="1517"/>
        <w:gridCol w:w="1623"/>
      </w:tblGrid>
      <w:tr>
        <w:tblPrEx>
          <w:tblCellMar>
            <w:top w:w="0" w:type="dxa"/>
            <w:left w:w="108" w:type="dxa"/>
            <w:bottom w:w="0" w:type="dxa"/>
            <w:right w:w="108" w:type="dxa"/>
          </w:tblCellMar>
        </w:tblPrEx>
        <w:trPr>
          <w:trHeight w:val="402" w:hRule="atLeast"/>
          <w:jc w:val="center"/>
        </w:trPr>
        <w:tc>
          <w:tcPr>
            <w:tcW w:w="0" w:type="auto"/>
            <w:gridSpan w:val="3"/>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收入</w:t>
            </w:r>
          </w:p>
        </w:tc>
        <w:tc>
          <w:tcPr>
            <w:tcW w:w="0" w:type="auto"/>
            <w:gridSpan w:val="6"/>
            <w:tcBorders>
              <w:top w:val="single" w:color="auto" w:sz="4" w:space="0"/>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支出</w:t>
            </w:r>
          </w:p>
        </w:tc>
      </w:tr>
      <w:tr>
        <w:tblPrEx>
          <w:tblCellMar>
            <w:top w:w="0" w:type="dxa"/>
            <w:left w:w="108" w:type="dxa"/>
            <w:bottom w:w="0" w:type="dxa"/>
            <w:right w:w="108" w:type="dxa"/>
          </w:tblCellMar>
        </w:tblPrEx>
        <w:trPr>
          <w:trHeight w:val="630"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项    目</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行次</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金额</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项    目</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行次</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合计</w:t>
            </w:r>
          </w:p>
        </w:tc>
        <w:tc>
          <w:tcPr>
            <w:tcW w:w="0" w:type="auto"/>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一般公共预算财政拨款</w:t>
            </w:r>
          </w:p>
        </w:tc>
        <w:tc>
          <w:tcPr>
            <w:tcW w:w="0" w:type="auto"/>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政府性基金预算财政拨款</w:t>
            </w:r>
          </w:p>
        </w:tc>
        <w:tc>
          <w:tcPr>
            <w:tcW w:w="0" w:type="auto"/>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国有资本经营预算财政拨款</w:t>
            </w: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    次</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1</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    次</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2</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3</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4</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5</w:t>
            </w: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一、一般公共预算财政拨款</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169.21</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一、一般公共服务支出</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15</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二、政府性基金预算财政拨款</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二、外交支出</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16</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三、国有资本经营预算财政拨款</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3</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三、国防支出</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17</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4</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四、公共安全支出</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18</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5</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五、教育支出</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19</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6</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六、科学技术支出</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20</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7</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hint="eastAsia" w:ascii="Times New Roman" w:hAnsi="Times New Roman" w:eastAsia="仿宋_GB2312" w:cs="Times New Roman"/>
                <w:kern w:val="0"/>
                <w:sz w:val="24"/>
                <w:szCs w:val="24"/>
                <w:lang w:eastAsia="zh-CN"/>
              </w:rPr>
            </w:pPr>
            <w:r>
              <w:rPr>
                <w:rFonts w:hint="eastAsia" w:ascii="Times New Roman" w:hAnsi="Times New Roman" w:eastAsia="仿宋_GB2312" w:cs="Times New Roman"/>
                <w:kern w:val="0"/>
                <w:sz w:val="24"/>
                <w:szCs w:val="24"/>
                <w:lang w:eastAsia="zh-CN"/>
              </w:rPr>
              <w:t>八、社会保障和就业支出</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21</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hint="default" w:ascii="Times New Roman" w:hAnsi="Times New Roman" w:eastAsia="仿宋_GB2312" w:cs="Times New Roman"/>
                <w:kern w:val="0"/>
                <w:sz w:val="22"/>
                <w:lang w:val="en-US" w:eastAsia="zh-CN"/>
              </w:rPr>
            </w:pPr>
            <w:r>
              <w:rPr>
                <w:rFonts w:ascii="Times New Roman" w:hAnsi="Times New Roman" w:eastAsia="仿宋_GB2312" w:cs="Times New Roman"/>
                <w:kern w:val="0"/>
                <w:sz w:val="22"/>
              </w:rPr>
              <w:t>　</w:t>
            </w:r>
            <w:r>
              <w:rPr>
                <w:rFonts w:hint="eastAsia" w:ascii="Times New Roman" w:hAnsi="Times New Roman" w:eastAsia="仿宋_GB2312" w:cs="Times New Roman"/>
                <w:kern w:val="0"/>
                <w:sz w:val="22"/>
                <w:lang w:val="en-US" w:eastAsia="zh-CN"/>
              </w:rPr>
              <w:t>11.24</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11.24</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8</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hint="eastAsia" w:ascii="Times New Roman" w:hAnsi="Times New Roman" w:eastAsia="仿宋_GB2312" w:cs="Times New Roman"/>
                <w:kern w:val="0"/>
                <w:sz w:val="22"/>
                <w:lang w:eastAsia="zh-CN"/>
              </w:rPr>
            </w:pPr>
            <w:r>
              <w:rPr>
                <w:rFonts w:hint="eastAsia" w:ascii="Times New Roman" w:hAnsi="Times New Roman" w:eastAsia="仿宋_GB2312" w:cs="Times New Roman"/>
                <w:kern w:val="0"/>
                <w:sz w:val="22"/>
                <w:lang w:eastAsia="zh-CN"/>
              </w:rPr>
              <w:t>九、</w:t>
            </w:r>
            <w:r>
              <w:rPr>
                <w:rFonts w:hint="eastAsia" w:ascii="Times New Roman" w:hAnsi="Times New Roman" w:eastAsia="仿宋_GB2312" w:cs="Times New Roman"/>
                <w:kern w:val="0"/>
                <w:sz w:val="24"/>
                <w:szCs w:val="24"/>
                <w:lang w:eastAsia="zh-CN"/>
              </w:rPr>
              <w:t>卫生健康支出</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22</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hint="default" w:ascii="Times New Roman" w:hAnsi="Times New Roman" w:eastAsia="仿宋_GB2312" w:cs="Times New Roman"/>
                <w:kern w:val="0"/>
                <w:sz w:val="22"/>
                <w:lang w:val="en-US" w:eastAsia="zh-CN"/>
              </w:rPr>
            </w:pPr>
            <w:r>
              <w:rPr>
                <w:rFonts w:ascii="Times New Roman" w:hAnsi="Times New Roman" w:eastAsia="仿宋_GB2312" w:cs="Times New Roman"/>
                <w:kern w:val="0"/>
                <w:sz w:val="22"/>
              </w:rPr>
              <w:t>　</w:t>
            </w:r>
            <w:r>
              <w:rPr>
                <w:rFonts w:hint="eastAsia" w:ascii="Times New Roman" w:hAnsi="Times New Roman" w:eastAsia="仿宋_GB2312" w:cs="Times New Roman"/>
                <w:kern w:val="0"/>
                <w:sz w:val="22"/>
                <w:lang w:val="en-US" w:eastAsia="zh-CN"/>
              </w:rPr>
              <w:t>157.97</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157.97</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本年收入合计</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9</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169.21</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本年支出合计</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23</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hint="default" w:ascii="Times New Roman" w:hAnsi="Times New Roman" w:eastAsia="仿宋_GB2312" w:cs="Times New Roman"/>
                <w:kern w:val="0"/>
                <w:sz w:val="22"/>
                <w:lang w:val="en-US" w:eastAsia="zh-CN"/>
              </w:rPr>
            </w:pPr>
            <w:r>
              <w:rPr>
                <w:rFonts w:ascii="Times New Roman" w:hAnsi="Times New Roman" w:eastAsia="仿宋_GB2312" w:cs="Times New Roman"/>
                <w:kern w:val="0"/>
                <w:sz w:val="22"/>
              </w:rPr>
              <w:t>　</w:t>
            </w:r>
            <w:r>
              <w:rPr>
                <w:rFonts w:hint="eastAsia" w:ascii="Times New Roman" w:hAnsi="Times New Roman" w:eastAsia="仿宋_GB2312" w:cs="Times New Roman"/>
                <w:kern w:val="0"/>
                <w:sz w:val="22"/>
                <w:lang w:val="en-US" w:eastAsia="zh-CN"/>
              </w:rPr>
              <w:t>169.21</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169.21</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　</w:t>
            </w: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年初财政拨款结转和结余</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10</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年末财政拨款结转和结余</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24</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xml:space="preserve">   一般公共预算财政拨款</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11</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25</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xml:space="preserve">     政府性基金预算财政拨款</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12</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26</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xml:space="preserve">      国有资本经营预算财政拨款</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13</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27</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总计</w:t>
            </w:r>
          </w:p>
        </w:tc>
        <w:tc>
          <w:tcPr>
            <w:tcW w:w="0" w:type="auto"/>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14</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169.21</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总计</w:t>
            </w:r>
          </w:p>
        </w:tc>
        <w:tc>
          <w:tcPr>
            <w:tcW w:w="0" w:type="auto"/>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28</w:t>
            </w:r>
          </w:p>
        </w:tc>
        <w:tc>
          <w:tcPr>
            <w:tcW w:w="0" w:type="auto"/>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169.21</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169.21</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　</w:t>
            </w:r>
          </w:p>
        </w:tc>
      </w:tr>
    </w:tbl>
    <w:p>
      <w:pPr>
        <w:widowControl/>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注：</w:t>
      </w:r>
      <w:r>
        <w:rPr>
          <w:rFonts w:ascii="Times New Roman" w:hAnsi="Times New Roman" w:eastAsia="仿宋_GB2312" w:cs="Times New Roman"/>
          <w:spacing w:val="-6"/>
          <w:kern w:val="0"/>
          <w:sz w:val="24"/>
          <w:szCs w:val="24"/>
        </w:rPr>
        <w:t>本表反映部门本年度一般公共预算财政拨款、政府性基金预算财政拨款和国有资本经营预算财政拨款的总收支和年末结转结余情况。</w:t>
      </w:r>
    </w:p>
    <w:p>
      <w:pPr>
        <w:widowControl/>
        <w:jc w:val="center"/>
        <w:rPr>
          <w:rFonts w:ascii="Times New Roman" w:hAnsi="Times New Roman" w:eastAsia="方正小标宋_GBK" w:cs="Times New Roman"/>
          <w:kern w:val="0"/>
          <w:sz w:val="36"/>
          <w:szCs w:val="36"/>
        </w:rPr>
      </w:pPr>
    </w:p>
    <w:p>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一般公共预算财政拨款支出决算表</w:t>
      </w:r>
      <w:bookmarkEnd w:id="1"/>
    </w:p>
    <w:p>
      <w:pPr>
        <w:widowControl/>
        <w:spacing w:before="156" w:beforeLines="50"/>
        <w:jc w:val="lef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 xml:space="preserve">     部门：                                                                                                     公开05表</w:t>
      </w:r>
    </w:p>
    <w:p>
      <w:pPr>
        <w:widowControl/>
        <w:jc w:val="left"/>
        <w:rPr>
          <w:rFonts w:ascii="Times New Roman" w:hAnsi="Times New Roman" w:eastAsia="宋体" w:cs="Times New Roman"/>
          <w:color w:val="000000"/>
          <w:kern w:val="0"/>
          <w:sz w:val="20"/>
          <w:szCs w:val="20"/>
        </w:rPr>
      </w:pPr>
      <w:r>
        <w:rPr>
          <w:rFonts w:ascii="Times New Roman" w:hAnsi="Times New Roman" w:eastAsia="仿宋_GB2312" w:cs="Times New Roman"/>
          <w:color w:val="000000"/>
          <w:kern w:val="0"/>
          <w:szCs w:val="21"/>
        </w:rPr>
        <w:t xml:space="preserve">                                                                                                               单位：万元</w:t>
      </w:r>
    </w:p>
    <w:tbl>
      <w:tblPr>
        <w:tblStyle w:val="10"/>
        <w:tblW w:w="14219" w:type="dxa"/>
        <w:jc w:val="center"/>
        <w:tblLayout w:type="autofit"/>
        <w:tblCellMar>
          <w:top w:w="0" w:type="dxa"/>
          <w:left w:w="108" w:type="dxa"/>
          <w:bottom w:w="0" w:type="dxa"/>
          <w:right w:w="108" w:type="dxa"/>
        </w:tblCellMar>
      </w:tblPr>
      <w:tblGrid>
        <w:gridCol w:w="1200"/>
        <w:gridCol w:w="3527"/>
        <w:gridCol w:w="3000"/>
        <w:gridCol w:w="3492"/>
        <w:gridCol w:w="3000"/>
      </w:tblGrid>
      <w:tr>
        <w:tblPrEx>
          <w:tblCellMar>
            <w:top w:w="0" w:type="dxa"/>
            <w:left w:w="108" w:type="dxa"/>
            <w:bottom w:w="0" w:type="dxa"/>
            <w:right w:w="108" w:type="dxa"/>
          </w:tblCellMar>
        </w:tblPrEx>
        <w:trPr>
          <w:trHeight w:val="545" w:hRule="atLeast"/>
          <w:jc w:val="center"/>
        </w:trPr>
        <w:tc>
          <w:tcPr>
            <w:tcW w:w="4727" w:type="dxa"/>
            <w:gridSpan w:val="2"/>
            <w:tcBorders>
              <w:top w:val="single" w:color="auto" w:sz="8" w:space="0"/>
              <w:left w:val="single" w:color="auto" w:sz="8"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 xml:space="preserve">项 </w:t>
            </w:r>
            <w:r>
              <w:rPr>
                <w:rFonts w:ascii="Times New Roman" w:hAnsi="Times New Roman" w:eastAsia="仿宋_GB2312" w:cs="Times New Roman"/>
                <w:b/>
                <w:color w:val="000000"/>
                <w:kern w:val="0"/>
                <w:szCs w:val="21"/>
              </w:rPr>
              <w:t xml:space="preserve">   </w:t>
            </w:r>
            <w:r>
              <w:rPr>
                <w:rFonts w:ascii="Times New Roman" w:hAnsi="Times New Roman" w:eastAsia="仿宋_GB2312" w:cs="Times New Roman"/>
                <w:b/>
                <w:kern w:val="0"/>
                <w:szCs w:val="21"/>
              </w:rPr>
              <w:t>目</w:t>
            </w:r>
          </w:p>
        </w:tc>
        <w:tc>
          <w:tcPr>
            <w:tcW w:w="9492" w:type="dxa"/>
            <w:gridSpan w:val="3"/>
            <w:tcBorders>
              <w:top w:val="single" w:color="auto" w:sz="8" w:space="0"/>
              <w:left w:val="nil"/>
              <w:bottom w:val="single" w:color="auto" w:sz="4" w:space="0"/>
              <w:right w:val="single" w:color="000000" w:sz="8"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本年支出</w:t>
            </w:r>
          </w:p>
        </w:tc>
      </w:tr>
      <w:tr>
        <w:tblPrEx>
          <w:tblCellMar>
            <w:top w:w="0" w:type="dxa"/>
            <w:left w:w="108" w:type="dxa"/>
            <w:bottom w:w="0" w:type="dxa"/>
            <w:right w:w="108" w:type="dxa"/>
          </w:tblCellMar>
        </w:tblPrEx>
        <w:trPr>
          <w:trHeight w:val="312" w:hRule="exact"/>
          <w:jc w:val="center"/>
        </w:trPr>
        <w:tc>
          <w:tcPr>
            <w:tcW w:w="1200" w:type="dxa"/>
            <w:vMerge w:val="restart"/>
            <w:tcBorders>
              <w:top w:val="single" w:color="auto" w:sz="4" w:space="0"/>
              <w:left w:val="single" w:color="auto" w:sz="8"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功能分类科目编码</w:t>
            </w:r>
          </w:p>
        </w:tc>
        <w:tc>
          <w:tcPr>
            <w:tcW w:w="3527" w:type="dxa"/>
            <w:vMerge w:val="restart"/>
            <w:tcBorders>
              <w:top w:val="nil"/>
              <w:left w:val="single" w:color="auto" w:sz="4"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科目名称</w:t>
            </w:r>
          </w:p>
        </w:tc>
        <w:tc>
          <w:tcPr>
            <w:tcW w:w="3000" w:type="dxa"/>
            <w:vMerge w:val="restart"/>
            <w:tcBorders>
              <w:top w:val="nil"/>
              <w:left w:val="single" w:color="auto" w:sz="4" w:space="0"/>
              <w:bottom w:val="single" w:color="000000" w:sz="4" w:space="0"/>
              <w:right w:val="single" w:color="auto" w:sz="4"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小计</w:t>
            </w:r>
          </w:p>
        </w:tc>
        <w:tc>
          <w:tcPr>
            <w:tcW w:w="3492" w:type="dxa"/>
            <w:vMerge w:val="restart"/>
            <w:tcBorders>
              <w:top w:val="nil"/>
              <w:left w:val="single" w:color="auto" w:sz="4" w:space="0"/>
              <w:bottom w:val="single" w:color="000000" w:sz="4" w:space="0"/>
              <w:right w:val="single" w:color="auto" w:sz="4"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基本支出</w:t>
            </w:r>
          </w:p>
        </w:tc>
        <w:tc>
          <w:tcPr>
            <w:tcW w:w="3000" w:type="dxa"/>
            <w:vMerge w:val="restart"/>
            <w:tcBorders>
              <w:top w:val="nil"/>
              <w:left w:val="single" w:color="auto" w:sz="4" w:space="0"/>
              <w:bottom w:val="single" w:color="000000" w:sz="4" w:space="0"/>
              <w:right w:val="single" w:color="auto" w:sz="8"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项目支出</w:t>
            </w:r>
          </w:p>
        </w:tc>
      </w:tr>
      <w:tr>
        <w:tblPrEx>
          <w:tblCellMar>
            <w:top w:w="0" w:type="dxa"/>
            <w:left w:w="108" w:type="dxa"/>
            <w:bottom w:w="0" w:type="dxa"/>
            <w:right w:w="108" w:type="dxa"/>
          </w:tblCellMar>
        </w:tblPrEx>
        <w:trPr>
          <w:trHeight w:val="360" w:hRule="atLeast"/>
          <w:jc w:val="center"/>
        </w:trPr>
        <w:tc>
          <w:tcPr>
            <w:tcW w:w="1200" w:type="dxa"/>
            <w:vMerge w:val="continue"/>
            <w:tcBorders>
              <w:top w:val="single" w:color="auto" w:sz="4" w:space="0"/>
              <w:left w:val="single" w:color="auto" w:sz="8" w:space="0"/>
              <w:bottom w:val="single" w:color="auto"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527" w:type="dxa"/>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492" w:type="dxa"/>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8" w:space="0"/>
            </w:tcBorders>
            <w:vAlign w:val="center"/>
          </w:tcPr>
          <w:p>
            <w:pPr>
              <w:widowControl/>
              <w:jc w:val="left"/>
              <w:rPr>
                <w:rFonts w:ascii="Times New Roman" w:hAnsi="Times New Roman" w:eastAsia="仿宋_GB2312" w:cs="Times New Roman"/>
                <w:kern w:val="0"/>
                <w:szCs w:val="21"/>
              </w:rPr>
            </w:pPr>
          </w:p>
        </w:tc>
      </w:tr>
      <w:tr>
        <w:tblPrEx>
          <w:tblCellMar>
            <w:top w:w="0" w:type="dxa"/>
            <w:left w:w="108" w:type="dxa"/>
            <w:bottom w:w="0" w:type="dxa"/>
            <w:right w:w="108" w:type="dxa"/>
          </w:tblCellMar>
        </w:tblPrEx>
        <w:trPr>
          <w:trHeight w:val="312" w:hRule="atLeast"/>
          <w:jc w:val="center"/>
        </w:trPr>
        <w:tc>
          <w:tcPr>
            <w:tcW w:w="1200" w:type="dxa"/>
            <w:vMerge w:val="continue"/>
            <w:tcBorders>
              <w:top w:val="single" w:color="auto" w:sz="4" w:space="0"/>
              <w:left w:val="single" w:color="auto" w:sz="8" w:space="0"/>
              <w:bottom w:val="single" w:color="auto"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527" w:type="dxa"/>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492" w:type="dxa"/>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8" w:space="0"/>
            </w:tcBorders>
            <w:vAlign w:val="center"/>
          </w:tcPr>
          <w:p>
            <w:pPr>
              <w:widowControl/>
              <w:jc w:val="left"/>
              <w:rPr>
                <w:rFonts w:ascii="Times New Roman" w:hAnsi="Times New Roman" w:eastAsia="仿宋_GB2312" w:cs="Times New Roman"/>
                <w:kern w:val="0"/>
                <w:szCs w:val="21"/>
              </w:rPr>
            </w:pPr>
          </w:p>
        </w:tc>
      </w:tr>
      <w:tr>
        <w:tblPrEx>
          <w:tblCellMar>
            <w:top w:w="0" w:type="dxa"/>
            <w:left w:w="108" w:type="dxa"/>
            <w:bottom w:w="0" w:type="dxa"/>
            <w:right w:w="108" w:type="dxa"/>
          </w:tblCellMar>
        </w:tblPrEx>
        <w:trPr>
          <w:trHeight w:val="450" w:hRule="atLeast"/>
          <w:jc w:val="center"/>
        </w:trPr>
        <w:tc>
          <w:tcPr>
            <w:tcW w:w="4727" w:type="dxa"/>
            <w:gridSpan w:val="2"/>
            <w:tcBorders>
              <w:top w:val="single" w:color="auto" w:sz="4" w:space="0"/>
              <w:left w:val="single" w:color="auto" w:sz="8"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栏次</w:t>
            </w:r>
          </w:p>
        </w:tc>
        <w:tc>
          <w:tcPr>
            <w:tcW w:w="3000"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1</w:t>
            </w:r>
          </w:p>
        </w:tc>
        <w:tc>
          <w:tcPr>
            <w:tcW w:w="3492"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2</w:t>
            </w:r>
          </w:p>
        </w:tc>
        <w:tc>
          <w:tcPr>
            <w:tcW w:w="3000" w:type="dxa"/>
            <w:tcBorders>
              <w:top w:val="nil"/>
              <w:left w:val="nil"/>
              <w:bottom w:val="single" w:color="auto" w:sz="4" w:space="0"/>
              <w:right w:val="single" w:color="auto" w:sz="8"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3</w:t>
            </w:r>
          </w:p>
        </w:tc>
      </w:tr>
      <w:tr>
        <w:tblPrEx>
          <w:tblCellMar>
            <w:top w:w="0" w:type="dxa"/>
            <w:left w:w="108" w:type="dxa"/>
            <w:bottom w:w="0" w:type="dxa"/>
            <w:right w:w="108" w:type="dxa"/>
          </w:tblCellMar>
        </w:tblPrEx>
        <w:trPr>
          <w:trHeight w:val="450" w:hRule="atLeast"/>
          <w:jc w:val="center"/>
        </w:trPr>
        <w:tc>
          <w:tcPr>
            <w:tcW w:w="4727" w:type="dxa"/>
            <w:gridSpan w:val="2"/>
            <w:tcBorders>
              <w:top w:val="single" w:color="auto" w:sz="4" w:space="0"/>
              <w:left w:val="single" w:color="auto" w:sz="8"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合计</w:t>
            </w:r>
          </w:p>
        </w:tc>
        <w:tc>
          <w:tcPr>
            <w:tcW w:w="3000"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lang w:val="en-US" w:eastAsia="zh-CN"/>
              </w:rPr>
              <w:t>169.21</w:t>
            </w:r>
            <w:r>
              <w:rPr>
                <w:rFonts w:ascii="Times New Roman" w:hAnsi="Times New Roman" w:eastAsia="仿宋_GB2312" w:cs="Times New Roman"/>
                <w:kern w:val="0"/>
                <w:szCs w:val="21"/>
              </w:rPr>
              <w:t>　</w:t>
            </w:r>
          </w:p>
        </w:tc>
        <w:tc>
          <w:tcPr>
            <w:tcW w:w="3492" w:type="dxa"/>
            <w:tcBorders>
              <w:top w:val="nil"/>
              <w:left w:val="nil"/>
              <w:bottom w:val="single" w:color="auto" w:sz="4" w:space="0"/>
              <w:right w:val="single" w:color="auto" w:sz="4" w:space="0"/>
            </w:tcBorders>
            <w:shd w:val="clear" w:color="auto" w:fill="auto"/>
            <w:vAlign w:val="center"/>
          </w:tcPr>
          <w:p>
            <w:pPr>
              <w:widowControl/>
              <w:tabs>
                <w:tab w:val="left" w:pos="277"/>
                <w:tab w:val="center" w:pos="1803"/>
              </w:tabs>
              <w:jc w:val="left"/>
              <w:rPr>
                <w:rFonts w:ascii="Times New Roman" w:hAnsi="Times New Roman" w:eastAsia="仿宋_GB2312" w:cs="Times New Roman"/>
                <w:kern w:val="0"/>
                <w:szCs w:val="21"/>
              </w:rPr>
            </w:pPr>
            <w:r>
              <w:rPr>
                <w:rFonts w:hint="eastAsia" w:ascii="Times New Roman" w:hAnsi="Times New Roman" w:eastAsia="仿宋_GB2312" w:cs="Times New Roman"/>
                <w:kern w:val="0"/>
                <w:szCs w:val="21"/>
                <w:lang w:eastAsia="zh-CN"/>
              </w:rPr>
              <w:tab/>
            </w:r>
            <w:r>
              <w:rPr>
                <w:rFonts w:hint="eastAsia" w:ascii="Times New Roman" w:hAnsi="Times New Roman" w:eastAsia="仿宋_GB2312" w:cs="Times New Roman"/>
                <w:kern w:val="0"/>
                <w:szCs w:val="21"/>
                <w:lang w:eastAsia="zh-CN"/>
              </w:rPr>
              <w:tab/>
            </w:r>
            <w:r>
              <w:rPr>
                <w:rFonts w:hint="eastAsia" w:ascii="Times New Roman" w:hAnsi="Times New Roman" w:eastAsia="仿宋_GB2312" w:cs="Times New Roman"/>
                <w:kern w:val="0"/>
                <w:szCs w:val="21"/>
                <w:lang w:val="en-US" w:eastAsia="zh-CN"/>
              </w:rPr>
              <w:t>164.21</w:t>
            </w:r>
            <w:r>
              <w:rPr>
                <w:rFonts w:ascii="Times New Roman" w:hAnsi="Times New Roman" w:eastAsia="仿宋_GB2312" w:cs="Times New Roman"/>
                <w:kern w:val="0"/>
                <w:szCs w:val="21"/>
              </w:rPr>
              <w:t>　</w:t>
            </w:r>
          </w:p>
        </w:tc>
        <w:tc>
          <w:tcPr>
            <w:tcW w:w="3000" w:type="dxa"/>
            <w:tcBorders>
              <w:top w:val="nil"/>
              <w:left w:val="nil"/>
              <w:bottom w:val="single" w:color="auto" w:sz="4" w:space="0"/>
              <w:right w:val="single" w:color="auto" w:sz="8" w:space="0"/>
            </w:tcBorders>
            <w:shd w:val="clear" w:color="auto" w:fill="auto"/>
            <w:vAlign w:val="center"/>
          </w:tcPr>
          <w:p>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lang w:val="en-US" w:eastAsia="zh-CN"/>
              </w:rPr>
              <w:t>5</w:t>
            </w:r>
            <w:r>
              <w:rPr>
                <w:rFonts w:ascii="Times New Roman" w:hAnsi="Times New Roman" w:eastAsia="仿宋_GB2312" w:cs="Times New Roman"/>
                <w:kern w:val="0"/>
                <w:szCs w:val="21"/>
              </w:rPr>
              <w:t>　</w:t>
            </w: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000000" w:fill="FFFFFF"/>
            <w:vAlign w:val="center"/>
          </w:tcPr>
          <w:p>
            <w:pPr>
              <w:rPr>
                <w:rFonts w:hint="default" w:ascii="Times New Roman" w:hAnsi="Times New Roman" w:eastAsia="仿宋_GB2312" w:cs="Times New Roman"/>
                <w:kern w:val="2"/>
                <w:sz w:val="24"/>
                <w:szCs w:val="24"/>
                <w:lang w:val="en-US" w:eastAsia="zh-CN" w:bidi="ar-SA"/>
              </w:rPr>
            </w:pPr>
            <w:r>
              <w:rPr>
                <w:rFonts w:ascii="Times New Roman" w:hAnsi="Times New Roman" w:eastAsia="仿宋_GB2312" w:cs="Times New Roman"/>
              </w:rPr>
              <w:t>　</w:t>
            </w:r>
            <w:r>
              <w:rPr>
                <w:rFonts w:hint="eastAsia" w:ascii="Times New Roman" w:hAnsi="Times New Roman" w:eastAsia="仿宋_GB2312" w:cs="Times New Roman"/>
                <w:lang w:val="en-US" w:eastAsia="zh-CN"/>
              </w:rPr>
              <w:t>2080505</w:t>
            </w:r>
          </w:p>
        </w:tc>
        <w:tc>
          <w:tcPr>
            <w:tcW w:w="3527" w:type="dxa"/>
            <w:tcBorders>
              <w:top w:val="nil"/>
              <w:left w:val="nil"/>
              <w:bottom w:val="single" w:color="auto" w:sz="4" w:space="0"/>
              <w:right w:val="single" w:color="auto" w:sz="4" w:space="0"/>
            </w:tcBorders>
            <w:shd w:val="clear" w:color="000000" w:fill="FFFFFF"/>
            <w:vAlign w:val="center"/>
          </w:tcPr>
          <w:p>
            <w:pPr>
              <w:rPr>
                <w:rFonts w:hint="eastAsia" w:ascii="Times New Roman" w:hAnsi="Times New Roman" w:eastAsia="仿宋_GB2312" w:cs="Times New Roman"/>
                <w:kern w:val="2"/>
                <w:sz w:val="24"/>
                <w:szCs w:val="24"/>
                <w:lang w:val="en-US" w:eastAsia="zh-CN" w:bidi="ar-SA"/>
              </w:rPr>
            </w:pPr>
            <w:r>
              <w:rPr>
                <w:rFonts w:ascii="Times New Roman" w:hAnsi="Times New Roman" w:eastAsia="仿宋_GB2312" w:cs="Times New Roman"/>
              </w:rPr>
              <w:t>　</w:t>
            </w:r>
            <w:r>
              <w:rPr>
                <w:rFonts w:hint="eastAsia" w:ascii="Times New Roman" w:hAnsi="Times New Roman" w:eastAsia="仿宋_GB2312" w:cs="Times New Roman"/>
                <w:lang w:eastAsia="zh-CN"/>
              </w:rPr>
              <w:t>机关事业单位基本养老保险缴费支出</w:t>
            </w:r>
          </w:p>
        </w:tc>
        <w:tc>
          <w:tcPr>
            <w:tcW w:w="3000" w:type="dxa"/>
            <w:tcBorders>
              <w:top w:val="nil"/>
              <w:left w:val="nil"/>
              <w:bottom w:val="single" w:color="auto" w:sz="4" w:space="0"/>
              <w:right w:val="single" w:color="auto" w:sz="4" w:space="0"/>
            </w:tcBorders>
            <w:shd w:val="clear" w:color="auto" w:fill="auto"/>
            <w:vAlign w:val="center"/>
          </w:tcPr>
          <w:p>
            <w:pPr>
              <w:widowControl/>
              <w:jc w:val="left"/>
              <w:rPr>
                <w:rFonts w:hint="default" w:ascii="Times New Roman" w:hAnsi="Times New Roman" w:eastAsia="仿宋_GB2312" w:cs="Times New Roman"/>
                <w:kern w:val="0"/>
                <w:szCs w:val="21"/>
                <w:lang w:val="en-US" w:eastAsia="zh-CN"/>
              </w:rPr>
            </w:pPr>
            <w:r>
              <w:rPr>
                <w:rFonts w:ascii="Times New Roman" w:hAnsi="Times New Roman" w:eastAsia="仿宋_GB2312" w:cs="Times New Roman"/>
                <w:kern w:val="0"/>
                <w:szCs w:val="21"/>
              </w:rPr>
              <w:t>　</w:t>
            </w:r>
            <w:r>
              <w:rPr>
                <w:rFonts w:hint="eastAsia" w:ascii="Times New Roman" w:hAnsi="Times New Roman" w:eastAsia="仿宋_GB2312" w:cs="Times New Roman"/>
                <w:kern w:val="0"/>
                <w:szCs w:val="21"/>
                <w:lang w:eastAsia="zh-CN"/>
              </w:rPr>
              <w:t>　　　　</w:t>
            </w:r>
            <w:r>
              <w:rPr>
                <w:rFonts w:hint="eastAsia" w:ascii="Times New Roman" w:hAnsi="Times New Roman" w:eastAsia="仿宋_GB2312" w:cs="Times New Roman"/>
                <w:kern w:val="0"/>
                <w:szCs w:val="21"/>
                <w:lang w:val="en-US" w:eastAsia="zh-CN"/>
              </w:rPr>
              <w:t>11.24</w:t>
            </w:r>
          </w:p>
        </w:tc>
        <w:tc>
          <w:tcPr>
            <w:tcW w:w="3492" w:type="dxa"/>
            <w:tcBorders>
              <w:top w:val="nil"/>
              <w:left w:val="nil"/>
              <w:bottom w:val="single" w:color="auto" w:sz="4" w:space="0"/>
              <w:right w:val="single" w:color="auto" w:sz="4" w:space="0"/>
            </w:tcBorders>
            <w:shd w:val="clear" w:color="auto" w:fill="auto"/>
            <w:vAlign w:val="center"/>
          </w:tcPr>
          <w:p>
            <w:pPr>
              <w:widowControl/>
              <w:jc w:val="left"/>
              <w:rPr>
                <w:rFonts w:hint="default" w:ascii="Times New Roman" w:hAnsi="Times New Roman" w:eastAsia="仿宋_GB2312" w:cs="Times New Roman"/>
                <w:kern w:val="0"/>
                <w:szCs w:val="21"/>
                <w:lang w:val="en-US" w:eastAsia="zh-CN"/>
              </w:rPr>
            </w:pPr>
            <w:r>
              <w:rPr>
                <w:rFonts w:ascii="Times New Roman" w:hAnsi="Times New Roman" w:eastAsia="仿宋_GB2312" w:cs="Times New Roman"/>
                <w:kern w:val="0"/>
                <w:szCs w:val="21"/>
              </w:rPr>
              <w:t>　</w:t>
            </w:r>
            <w:r>
              <w:rPr>
                <w:rFonts w:hint="eastAsia" w:ascii="Times New Roman" w:hAnsi="Times New Roman" w:eastAsia="仿宋_GB2312" w:cs="Times New Roman"/>
                <w:kern w:val="0"/>
                <w:szCs w:val="21"/>
                <w:lang w:eastAsia="zh-CN"/>
              </w:rPr>
              <w:t>　　　　　　</w:t>
            </w:r>
            <w:r>
              <w:rPr>
                <w:rFonts w:hint="eastAsia" w:ascii="Times New Roman" w:hAnsi="Times New Roman" w:eastAsia="仿宋_GB2312" w:cs="Times New Roman"/>
                <w:kern w:val="0"/>
                <w:szCs w:val="21"/>
                <w:lang w:val="en-US" w:eastAsia="zh-CN"/>
              </w:rPr>
              <w:t>11.24</w:t>
            </w:r>
          </w:p>
        </w:tc>
        <w:tc>
          <w:tcPr>
            <w:tcW w:w="3000" w:type="dxa"/>
            <w:tcBorders>
              <w:top w:val="nil"/>
              <w:left w:val="nil"/>
              <w:bottom w:val="single" w:color="auto" w:sz="4" w:space="0"/>
              <w:right w:val="single" w:color="auto" w:sz="8" w:space="0"/>
            </w:tcBorders>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000000" w:fill="FFFFFF"/>
            <w:vAlign w:val="center"/>
          </w:tcPr>
          <w:p>
            <w:pPr>
              <w:rPr>
                <w:rFonts w:hint="default" w:ascii="Times New Roman" w:hAnsi="Times New Roman" w:eastAsia="仿宋_GB2312" w:cs="Times New Roman"/>
                <w:kern w:val="2"/>
                <w:sz w:val="24"/>
                <w:szCs w:val="24"/>
                <w:lang w:val="en-US" w:eastAsia="zh-CN" w:bidi="ar-SA"/>
              </w:rPr>
            </w:pPr>
            <w:r>
              <w:rPr>
                <w:rFonts w:ascii="Times New Roman" w:hAnsi="Times New Roman" w:eastAsia="仿宋_GB2312" w:cs="Times New Roman"/>
              </w:rPr>
              <w:t>　</w:t>
            </w:r>
            <w:r>
              <w:rPr>
                <w:rFonts w:hint="eastAsia" w:ascii="Times New Roman" w:hAnsi="Times New Roman" w:eastAsia="仿宋_GB2312" w:cs="Times New Roman"/>
                <w:lang w:val="en-US" w:eastAsia="zh-CN"/>
              </w:rPr>
              <w:t>2100402</w:t>
            </w:r>
          </w:p>
        </w:tc>
        <w:tc>
          <w:tcPr>
            <w:tcW w:w="3527" w:type="dxa"/>
            <w:tcBorders>
              <w:top w:val="nil"/>
              <w:left w:val="nil"/>
              <w:bottom w:val="single" w:color="auto" w:sz="4" w:space="0"/>
              <w:right w:val="single" w:color="auto" w:sz="4" w:space="0"/>
            </w:tcBorders>
            <w:shd w:val="clear" w:color="000000" w:fill="FFFFFF"/>
            <w:vAlign w:val="center"/>
          </w:tcPr>
          <w:p>
            <w:pPr>
              <w:rPr>
                <w:rFonts w:hint="eastAsia" w:ascii="Times New Roman" w:hAnsi="Times New Roman" w:eastAsia="仿宋_GB2312" w:cs="Times New Roman"/>
                <w:kern w:val="2"/>
                <w:sz w:val="24"/>
                <w:szCs w:val="24"/>
                <w:lang w:val="en-US" w:eastAsia="zh-CN" w:bidi="ar-SA"/>
              </w:rPr>
            </w:pPr>
            <w:r>
              <w:rPr>
                <w:rFonts w:ascii="Times New Roman" w:hAnsi="Times New Roman" w:eastAsia="仿宋_GB2312" w:cs="Times New Roman"/>
              </w:rPr>
              <w:t>　</w:t>
            </w:r>
            <w:r>
              <w:rPr>
                <w:rFonts w:hint="eastAsia" w:ascii="Times New Roman" w:hAnsi="Times New Roman" w:eastAsia="仿宋_GB2312" w:cs="Times New Roman"/>
                <w:lang w:eastAsia="zh-CN"/>
              </w:rPr>
              <w:t>卫生监督机构</w:t>
            </w:r>
          </w:p>
        </w:tc>
        <w:tc>
          <w:tcPr>
            <w:tcW w:w="3000" w:type="dxa"/>
            <w:tcBorders>
              <w:top w:val="nil"/>
              <w:left w:val="nil"/>
              <w:bottom w:val="single" w:color="auto" w:sz="4" w:space="0"/>
              <w:right w:val="single" w:color="auto" w:sz="4" w:space="0"/>
            </w:tcBorders>
            <w:shd w:val="clear" w:color="auto" w:fill="auto"/>
            <w:vAlign w:val="center"/>
          </w:tcPr>
          <w:p>
            <w:pPr>
              <w:widowControl/>
              <w:jc w:val="left"/>
              <w:rPr>
                <w:rFonts w:hint="default" w:ascii="Times New Roman" w:hAnsi="Times New Roman" w:eastAsia="仿宋_GB2312" w:cs="Times New Roman"/>
                <w:kern w:val="0"/>
                <w:szCs w:val="21"/>
                <w:lang w:val="en-US" w:eastAsia="zh-CN"/>
              </w:rPr>
            </w:pPr>
            <w:r>
              <w:rPr>
                <w:rFonts w:ascii="Times New Roman" w:hAnsi="Times New Roman" w:eastAsia="仿宋_GB2312" w:cs="Times New Roman"/>
                <w:kern w:val="0"/>
                <w:szCs w:val="21"/>
              </w:rPr>
              <w:t>　</w:t>
            </w:r>
            <w:r>
              <w:rPr>
                <w:rFonts w:hint="eastAsia" w:ascii="Times New Roman" w:hAnsi="Times New Roman" w:eastAsia="仿宋_GB2312" w:cs="Times New Roman"/>
                <w:kern w:val="0"/>
                <w:szCs w:val="21"/>
                <w:lang w:eastAsia="zh-CN"/>
              </w:rPr>
              <w:t>　　　　</w:t>
            </w:r>
            <w:r>
              <w:rPr>
                <w:rFonts w:hint="eastAsia" w:ascii="Times New Roman" w:hAnsi="Times New Roman" w:eastAsia="仿宋_GB2312" w:cs="Times New Roman"/>
                <w:kern w:val="0"/>
                <w:szCs w:val="21"/>
                <w:lang w:val="en-US" w:eastAsia="zh-CN"/>
              </w:rPr>
              <w:t>146.79</w:t>
            </w:r>
          </w:p>
        </w:tc>
        <w:tc>
          <w:tcPr>
            <w:tcW w:w="3492" w:type="dxa"/>
            <w:tcBorders>
              <w:top w:val="nil"/>
              <w:left w:val="nil"/>
              <w:bottom w:val="single" w:color="auto" w:sz="4" w:space="0"/>
              <w:right w:val="single" w:color="auto" w:sz="4" w:space="0"/>
            </w:tcBorders>
            <w:shd w:val="clear" w:color="auto" w:fill="auto"/>
            <w:vAlign w:val="center"/>
          </w:tcPr>
          <w:p>
            <w:pPr>
              <w:widowControl/>
              <w:jc w:val="left"/>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eastAsia="zh-CN"/>
              </w:rPr>
              <w:t>　　　　　　</w:t>
            </w:r>
            <w:r>
              <w:rPr>
                <w:rFonts w:ascii="Times New Roman" w:hAnsi="Times New Roman" w:eastAsia="仿宋_GB2312" w:cs="Times New Roman"/>
                <w:kern w:val="0"/>
                <w:szCs w:val="21"/>
              </w:rPr>
              <w:t>　</w:t>
            </w:r>
            <w:r>
              <w:rPr>
                <w:rFonts w:hint="eastAsia" w:ascii="Times New Roman" w:hAnsi="Times New Roman" w:eastAsia="仿宋_GB2312" w:cs="Times New Roman"/>
                <w:kern w:val="0"/>
                <w:szCs w:val="21"/>
                <w:lang w:val="en-US" w:eastAsia="zh-CN"/>
              </w:rPr>
              <w:t>146.79</w:t>
            </w:r>
          </w:p>
        </w:tc>
        <w:tc>
          <w:tcPr>
            <w:tcW w:w="3000" w:type="dxa"/>
            <w:tcBorders>
              <w:top w:val="nil"/>
              <w:left w:val="nil"/>
              <w:bottom w:val="single" w:color="auto" w:sz="4" w:space="0"/>
              <w:right w:val="single" w:color="auto" w:sz="8" w:space="0"/>
            </w:tcBorders>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000000" w:fill="FFFFFF"/>
            <w:vAlign w:val="center"/>
          </w:tcPr>
          <w:p>
            <w:pPr>
              <w:rPr>
                <w:rFonts w:hint="default" w:ascii="Times New Roman" w:hAnsi="Times New Roman" w:eastAsia="仿宋_GB2312" w:cs="Times New Roman"/>
                <w:kern w:val="2"/>
                <w:sz w:val="24"/>
                <w:szCs w:val="24"/>
                <w:lang w:val="en-US" w:eastAsia="zh-CN" w:bidi="ar-SA"/>
              </w:rPr>
            </w:pPr>
            <w:r>
              <w:rPr>
                <w:rFonts w:ascii="Times New Roman" w:hAnsi="Times New Roman" w:eastAsia="仿宋_GB2312" w:cs="Times New Roman"/>
              </w:rPr>
              <w:t>　</w:t>
            </w:r>
            <w:r>
              <w:rPr>
                <w:rFonts w:hint="eastAsia" w:ascii="Times New Roman" w:hAnsi="Times New Roman" w:eastAsia="仿宋_GB2312" w:cs="Times New Roman"/>
                <w:lang w:val="en-US" w:eastAsia="zh-CN"/>
              </w:rPr>
              <w:t>2100499</w:t>
            </w:r>
          </w:p>
        </w:tc>
        <w:tc>
          <w:tcPr>
            <w:tcW w:w="3527" w:type="dxa"/>
            <w:tcBorders>
              <w:top w:val="nil"/>
              <w:left w:val="nil"/>
              <w:bottom w:val="single" w:color="auto" w:sz="4" w:space="0"/>
              <w:right w:val="single" w:color="auto" w:sz="4" w:space="0"/>
            </w:tcBorders>
            <w:shd w:val="clear" w:color="000000" w:fill="FFFFFF"/>
            <w:vAlign w:val="center"/>
          </w:tcPr>
          <w:p>
            <w:pPr>
              <w:rPr>
                <w:rFonts w:hint="eastAsia" w:ascii="Times New Roman" w:hAnsi="Times New Roman" w:eastAsia="仿宋_GB2312" w:cs="Times New Roman"/>
                <w:kern w:val="2"/>
                <w:sz w:val="24"/>
                <w:szCs w:val="24"/>
                <w:lang w:val="en-US" w:eastAsia="zh-CN" w:bidi="ar-SA"/>
              </w:rPr>
            </w:pPr>
            <w:r>
              <w:rPr>
                <w:rFonts w:ascii="Times New Roman" w:hAnsi="Times New Roman" w:eastAsia="仿宋_GB2312" w:cs="Times New Roman"/>
              </w:rPr>
              <w:t>　</w:t>
            </w:r>
            <w:r>
              <w:rPr>
                <w:rFonts w:hint="eastAsia" w:ascii="Times New Roman" w:hAnsi="Times New Roman" w:eastAsia="仿宋_GB2312" w:cs="Times New Roman"/>
                <w:lang w:eastAsia="zh-CN"/>
              </w:rPr>
              <w:t>其他公共卫生支出</w:t>
            </w:r>
          </w:p>
        </w:tc>
        <w:tc>
          <w:tcPr>
            <w:tcW w:w="3000" w:type="dxa"/>
            <w:tcBorders>
              <w:top w:val="nil"/>
              <w:left w:val="nil"/>
              <w:bottom w:val="single" w:color="auto" w:sz="4" w:space="0"/>
              <w:right w:val="single" w:color="auto" w:sz="4" w:space="0"/>
            </w:tcBorders>
            <w:shd w:val="clear" w:color="auto" w:fill="auto"/>
            <w:vAlign w:val="center"/>
          </w:tcPr>
          <w:p>
            <w:pPr>
              <w:widowControl/>
              <w:jc w:val="left"/>
              <w:rPr>
                <w:rFonts w:hint="eastAsia" w:ascii="Times New Roman" w:hAnsi="Times New Roman" w:eastAsia="仿宋_GB2312" w:cs="Times New Roman"/>
                <w:kern w:val="0"/>
                <w:szCs w:val="21"/>
                <w:lang w:val="en-US" w:eastAsia="zh-CN"/>
              </w:rPr>
            </w:pPr>
            <w:r>
              <w:rPr>
                <w:rFonts w:ascii="Times New Roman" w:hAnsi="Times New Roman" w:eastAsia="仿宋_GB2312" w:cs="Times New Roman"/>
                <w:kern w:val="0"/>
                <w:szCs w:val="21"/>
              </w:rPr>
              <w:t>　</w:t>
            </w:r>
            <w:r>
              <w:rPr>
                <w:rFonts w:hint="eastAsia" w:ascii="Times New Roman" w:hAnsi="Times New Roman" w:eastAsia="仿宋_GB2312" w:cs="Times New Roman"/>
                <w:kern w:val="0"/>
                <w:szCs w:val="21"/>
                <w:lang w:eastAsia="zh-CN"/>
              </w:rPr>
              <w:t>　　　　　</w:t>
            </w:r>
            <w:r>
              <w:rPr>
                <w:rFonts w:hint="eastAsia" w:ascii="Times New Roman" w:hAnsi="Times New Roman" w:eastAsia="仿宋_GB2312" w:cs="Times New Roman"/>
                <w:kern w:val="0"/>
                <w:szCs w:val="21"/>
                <w:lang w:val="en-US" w:eastAsia="zh-CN"/>
              </w:rPr>
              <w:t>5</w:t>
            </w:r>
          </w:p>
        </w:tc>
        <w:tc>
          <w:tcPr>
            <w:tcW w:w="3492" w:type="dxa"/>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000" w:type="dxa"/>
            <w:tcBorders>
              <w:top w:val="nil"/>
              <w:left w:val="nil"/>
              <w:bottom w:val="single" w:color="auto" w:sz="4" w:space="0"/>
              <w:right w:val="single" w:color="auto" w:sz="8" w:space="0"/>
            </w:tcBorders>
            <w:shd w:val="clear" w:color="auto" w:fill="auto"/>
            <w:vAlign w:val="center"/>
          </w:tcPr>
          <w:p>
            <w:pPr>
              <w:widowControl/>
              <w:jc w:val="left"/>
              <w:rPr>
                <w:rFonts w:hint="eastAsia" w:ascii="Times New Roman" w:hAnsi="Times New Roman" w:eastAsia="仿宋_GB2312" w:cs="Times New Roman"/>
                <w:kern w:val="0"/>
                <w:szCs w:val="21"/>
                <w:lang w:val="en-US" w:eastAsia="zh-CN"/>
              </w:rPr>
            </w:pPr>
            <w:r>
              <w:rPr>
                <w:rFonts w:ascii="Times New Roman" w:hAnsi="Times New Roman" w:eastAsia="仿宋_GB2312" w:cs="Times New Roman"/>
                <w:kern w:val="0"/>
                <w:szCs w:val="21"/>
              </w:rPr>
              <w:t>　</w:t>
            </w:r>
            <w:r>
              <w:rPr>
                <w:rFonts w:hint="eastAsia" w:ascii="Times New Roman" w:hAnsi="Times New Roman" w:eastAsia="仿宋_GB2312" w:cs="Times New Roman"/>
                <w:kern w:val="0"/>
                <w:szCs w:val="21"/>
                <w:lang w:eastAsia="zh-CN"/>
              </w:rPr>
              <w:t>　　　　　</w:t>
            </w:r>
            <w:r>
              <w:rPr>
                <w:rFonts w:hint="eastAsia" w:ascii="Times New Roman" w:hAnsi="Times New Roman" w:eastAsia="仿宋_GB2312" w:cs="Times New Roman"/>
                <w:kern w:val="0"/>
                <w:szCs w:val="21"/>
                <w:lang w:val="en-US" w:eastAsia="zh-CN"/>
              </w:rPr>
              <w:t>5</w:t>
            </w: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000000" w:fill="FFFFFF"/>
            <w:vAlign w:val="center"/>
          </w:tcPr>
          <w:p>
            <w:pPr>
              <w:rPr>
                <w:rFonts w:hint="default" w:ascii="Times New Roman" w:hAnsi="Times New Roman" w:eastAsia="仿宋_GB2312" w:cs="Times New Roman"/>
                <w:kern w:val="2"/>
                <w:sz w:val="24"/>
                <w:szCs w:val="24"/>
                <w:lang w:val="en-US" w:eastAsia="zh-CN" w:bidi="ar-SA"/>
              </w:rPr>
            </w:pPr>
            <w:r>
              <w:rPr>
                <w:rFonts w:ascii="Times New Roman" w:hAnsi="Times New Roman" w:eastAsia="仿宋_GB2312" w:cs="Times New Roman"/>
              </w:rPr>
              <w:t>　</w:t>
            </w:r>
            <w:r>
              <w:rPr>
                <w:rFonts w:hint="eastAsia" w:ascii="Times New Roman" w:hAnsi="Times New Roman" w:eastAsia="仿宋_GB2312" w:cs="Times New Roman"/>
                <w:lang w:val="en-US" w:eastAsia="zh-CN"/>
              </w:rPr>
              <w:t>2101101</w:t>
            </w:r>
          </w:p>
        </w:tc>
        <w:tc>
          <w:tcPr>
            <w:tcW w:w="3527" w:type="dxa"/>
            <w:tcBorders>
              <w:top w:val="nil"/>
              <w:left w:val="nil"/>
              <w:bottom w:val="single" w:color="auto" w:sz="4" w:space="0"/>
              <w:right w:val="single" w:color="auto" w:sz="4" w:space="0"/>
            </w:tcBorders>
            <w:shd w:val="clear" w:color="000000" w:fill="FFFFFF"/>
            <w:vAlign w:val="center"/>
          </w:tcPr>
          <w:p>
            <w:pPr>
              <w:rPr>
                <w:rFonts w:hint="eastAsia" w:ascii="Times New Roman" w:hAnsi="Times New Roman" w:eastAsia="仿宋_GB2312" w:cs="Times New Roman"/>
                <w:kern w:val="2"/>
                <w:sz w:val="24"/>
                <w:szCs w:val="24"/>
                <w:lang w:val="en-US" w:eastAsia="zh-CN" w:bidi="ar-SA"/>
              </w:rPr>
            </w:pPr>
            <w:r>
              <w:rPr>
                <w:rFonts w:ascii="Times New Roman" w:hAnsi="Times New Roman" w:eastAsia="仿宋_GB2312" w:cs="Times New Roman"/>
              </w:rPr>
              <w:t>　</w:t>
            </w:r>
            <w:r>
              <w:rPr>
                <w:rFonts w:hint="eastAsia" w:ascii="Times New Roman" w:hAnsi="Times New Roman" w:eastAsia="仿宋_GB2312" w:cs="Times New Roman"/>
                <w:lang w:eastAsia="zh-CN"/>
              </w:rPr>
              <w:t>行政事业单位医疗</w:t>
            </w:r>
          </w:p>
        </w:tc>
        <w:tc>
          <w:tcPr>
            <w:tcW w:w="3000" w:type="dxa"/>
            <w:tcBorders>
              <w:top w:val="nil"/>
              <w:left w:val="nil"/>
              <w:bottom w:val="single" w:color="auto" w:sz="4" w:space="0"/>
              <w:right w:val="single" w:color="auto" w:sz="4" w:space="0"/>
            </w:tcBorders>
            <w:shd w:val="clear" w:color="auto" w:fill="auto"/>
            <w:vAlign w:val="center"/>
          </w:tcPr>
          <w:p>
            <w:pPr>
              <w:widowControl/>
              <w:jc w:val="left"/>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eastAsia="zh-CN"/>
              </w:rPr>
              <w:t>　　　　　</w:t>
            </w:r>
            <w:r>
              <w:rPr>
                <w:rFonts w:ascii="Times New Roman" w:hAnsi="Times New Roman" w:eastAsia="仿宋_GB2312" w:cs="Times New Roman"/>
                <w:kern w:val="0"/>
                <w:szCs w:val="21"/>
              </w:rPr>
              <w:t>　</w:t>
            </w:r>
            <w:r>
              <w:rPr>
                <w:rFonts w:hint="eastAsia" w:ascii="Times New Roman" w:hAnsi="Times New Roman" w:eastAsia="仿宋_GB2312" w:cs="Times New Roman"/>
                <w:kern w:val="0"/>
                <w:szCs w:val="21"/>
                <w:lang w:val="en-US" w:eastAsia="zh-CN"/>
              </w:rPr>
              <w:t>6.18</w:t>
            </w:r>
          </w:p>
        </w:tc>
        <w:tc>
          <w:tcPr>
            <w:tcW w:w="3492" w:type="dxa"/>
            <w:tcBorders>
              <w:top w:val="nil"/>
              <w:left w:val="nil"/>
              <w:bottom w:val="single" w:color="auto" w:sz="4" w:space="0"/>
              <w:right w:val="single" w:color="auto" w:sz="4" w:space="0"/>
            </w:tcBorders>
            <w:shd w:val="clear" w:color="auto" w:fill="auto"/>
            <w:vAlign w:val="center"/>
          </w:tcPr>
          <w:p>
            <w:pPr>
              <w:widowControl/>
              <w:jc w:val="left"/>
              <w:rPr>
                <w:rFonts w:hint="default" w:ascii="Times New Roman" w:hAnsi="Times New Roman" w:eastAsia="仿宋_GB2312" w:cs="Times New Roman"/>
                <w:kern w:val="0"/>
                <w:szCs w:val="21"/>
                <w:lang w:val="en-US" w:eastAsia="zh-CN"/>
              </w:rPr>
            </w:pPr>
            <w:r>
              <w:rPr>
                <w:rFonts w:ascii="Times New Roman" w:hAnsi="Times New Roman" w:eastAsia="仿宋_GB2312" w:cs="Times New Roman"/>
                <w:kern w:val="0"/>
                <w:szCs w:val="21"/>
              </w:rPr>
              <w:t>　</w:t>
            </w:r>
            <w:r>
              <w:rPr>
                <w:rFonts w:hint="eastAsia" w:ascii="Times New Roman" w:hAnsi="Times New Roman" w:eastAsia="仿宋_GB2312" w:cs="Times New Roman"/>
                <w:kern w:val="0"/>
                <w:szCs w:val="21"/>
                <w:lang w:eastAsia="zh-CN"/>
              </w:rPr>
              <w:t>　　　　　　　</w:t>
            </w:r>
            <w:r>
              <w:rPr>
                <w:rFonts w:hint="eastAsia" w:ascii="Times New Roman" w:hAnsi="Times New Roman" w:eastAsia="仿宋_GB2312" w:cs="Times New Roman"/>
                <w:kern w:val="0"/>
                <w:szCs w:val="21"/>
                <w:lang w:val="en-US" w:eastAsia="zh-CN"/>
              </w:rPr>
              <w:t>6.18</w:t>
            </w:r>
          </w:p>
        </w:tc>
        <w:tc>
          <w:tcPr>
            <w:tcW w:w="3000" w:type="dxa"/>
            <w:tcBorders>
              <w:top w:val="nil"/>
              <w:left w:val="nil"/>
              <w:bottom w:val="single" w:color="auto" w:sz="4" w:space="0"/>
              <w:right w:val="single" w:color="auto" w:sz="8" w:space="0"/>
            </w:tcBorders>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527" w:type="dxa"/>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000" w:type="dxa"/>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492" w:type="dxa"/>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000" w:type="dxa"/>
            <w:tcBorders>
              <w:top w:val="nil"/>
              <w:left w:val="nil"/>
              <w:bottom w:val="single" w:color="auto" w:sz="4" w:space="0"/>
              <w:right w:val="single" w:color="auto" w:sz="8" w:space="0"/>
            </w:tcBorders>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8"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527" w:type="dxa"/>
            <w:tcBorders>
              <w:top w:val="nil"/>
              <w:left w:val="nil"/>
              <w:bottom w:val="single" w:color="auto" w:sz="8" w:space="0"/>
              <w:right w:val="single" w:color="auto" w:sz="4" w:space="0"/>
            </w:tcBorders>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000" w:type="dxa"/>
            <w:tcBorders>
              <w:top w:val="nil"/>
              <w:left w:val="nil"/>
              <w:bottom w:val="single" w:color="auto" w:sz="8" w:space="0"/>
              <w:right w:val="single" w:color="auto" w:sz="4" w:space="0"/>
            </w:tcBorders>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492" w:type="dxa"/>
            <w:tcBorders>
              <w:top w:val="nil"/>
              <w:left w:val="nil"/>
              <w:bottom w:val="single" w:color="auto" w:sz="8" w:space="0"/>
              <w:right w:val="single" w:color="auto" w:sz="4" w:space="0"/>
            </w:tcBorders>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000" w:type="dxa"/>
            <w:tcBorders>
              <w:top w:val="nil"/>
              <w:left w:val="nil"/>
              <w:bottom w:val="single" w:color="auto" w:sz="8" w:space="0"/>
              <w:right w:val="single" w:color="auto" w:sz="8" w:space="0"/>
            </w:tcBorders>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r>
    </w:tbl>
    <w:p>
      <w:pPr>
        <w:widowControl/>
        <w:spacing w:before="120"/>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注：本表反映部门本年度一般公共预算财政拨款支出情况。</w:t>
      </w:r>
    </w:p>
    <w:p>
      <w:pPr>
        <w:widowControl/>
        <w:jc w:val="left"/>
        <w:rPr>
          <w:rFonts w:ascii="Times New Roman" w:hAnsi="Times New Roman" w:eastAsia="仿宋_GB2312" w:cs="Times New Roman"/>
          <w:bCs/>
          <w:kern w:val="0"/>
          <w:szCs w:val="21"/>
        </w:rPr>
      </w:pPr>
    </w:p>
    <w:p>
      <w:pPr>
        <w:widowControl/>
        <w:jc w:val="left"/>
        <w:rPr>
          <w:rFonts w:ascii="Times New Roman" w:hAnsi="Times New Roman" w:eastAsia="仿宋_GB2312" w:cs="Times New Roman"/>
          <w:bCs/>
          <w:kern w:val="0"/>
          <w:szCs w:val="21"/>
        </w:rPr>
      </w:pPr>
      <w:r>
        <w:rPr>
          <w:rFonts w:ascii="Times New Roman" w:hAnsi="Times New Roman" w:eastAsia="仿宋_GB2312" w:cs="Times New Roman"/>
          <w:bCs/>
          <w:kern w:val="0"/>
          <w:szCs w:val="21"/>
        </w:rPr>
        <w:br w:type="page"/>
      </w:r>
    </w:p>
    <w:p>
      <w:pPr>
        <w:widowControl/>
        <w:spacing w:after="120"/>
        <w:jc w:val="center"/>
        <w:textAlignment w:val="center"/>
        <w:rPr>
          <w:rFonts w:ascii="Times New Roman" w:hAnsi="Times New Roman" w:eastAsia="黑体" w:cs="Times New Roman"/>
          <w:color w:val="000000"/>
          <w:kern w:val="0"/>
          <w:sz w:val="36"/>
          <w:szCs w:val="36"/>
          <w:lang w:bidi="ar"/>
        </w:rPr>
      </w:pPr>
      <w:bookmarkStart w:id="2" w:name="RANGE!A1:I34"/>
      <w:r>
        <w:rPr>
          <w:rFonts w:ascii="Times New Roman" w:hAnsi="Times New Roman" w:eastAsia="黑体" w:cs="Times New Roman"/>
          <w:color w:val="000000"/>
          <w:kern w:val="0"/>
          <w:sz w:val="36"/>
          <w:szCs w:val="36"/>
          <w:lang w:bidi="ar"/>
        </w:rPr>
        <w:t>一般公共预算财政拨款基本支出决算明细表</w:t>
      </w:r>
      <w:bookmarkEnd w:id="2"/>
    </w:p>
    <w:p>
      <w:pPr>
        <w:widowControl/>
        <w:wordWrap w:val="0"/>
        <w:spacing w:line="240" w:lineRule="exact"/>
        <w:jc w:val="righ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 xml:space="preserve">  部门：                                                                                                                公开06表</w:t>
      </w:r>
    </w:p>
    <w:p>
      <w:pPr>
        <w:widowControl/>
        <w:spacing w:line="240" w:lineRule="exact"/>
        <w:jc w:val="right"/>
        <w:rPr>
          <w:rFonts w:ascii="Times New Roman" w:hAnsi="Times New Roman" w:eastAsia="华文中宋" w:cs="Times New Roman"/>
          <w:color w:val="000000"/>
          <w:kern w:val="0"/>
          <w:szCs w:val="32"/>
        </w:rPr>
      </w:pPr>
      <w:r>
        <w:rPr>
          <w:rFonts w:ascii="Times New Roman" w:hAnsi="Times New Roman" w:eastAsia="仿宋_GB2312" w:cs="Times New Roman"/>
          <w:color w:val="000000"/>
          <w:kern w:val="0"/>
          <w:szCs w:val="21"/>
        </w:rPr>
        <w:t>单位：万元</w:t>
      </w:r>
    </w:p>
    <w:tbl>
      <w:tblPr>
        <w:tblStyle w:val="10"/>
        <w:tblW w:w="14627" w:type="dxa"/>
        <w:jc w:val="center"/>
        <w:tblLayout w:type="fixed"/>
        <w:tblCellMar>
          <w:top w:w="0" w:type="dxa"/>
          <w:left w:w="108" w:type="dxa"/>
          <w:bottom w:w="0" w:type="dxa"/>
          <w:right w:w="108" w:type="dxa"/>
        </w:tblCellMar>
      </w:tblPr>
      <w:tblGrid>
        <w:gridCol w:w="1081"/>
        <w:gridCol w:w="2850"/>
        <w:gridCol w:w="966"/>
        <w:gridCol w:w="1116"/>
        <w:gridCol w:w="2018"/>
        <w:gridCol w:w="933"/>
        <w:gridCol w:w="1217"/>
        <w:gridCol w:w="3517"/>
        <w:gridCol w:w="929"/>
      </w:tblGrid>
      <w:tr>
        <w:tblPrEx>
          <w:tblCellMar>
            <w:top w:w="0" w:type="dxa"/>
            <w:left w:w="108" w:type="dxa"/>
            <w:bottom w:w="0" w:type="dxa"/>
            <w:right w:w="108" w:type="dxa"/>
          </w:tblCellMar>
        </w:tblPrEx>
        <w:trPr>
          <w:trHeight w:val="530" w:hRule="atLeast"/>
          <w:jc w:val="center"/>
        </w:trPr>
        <w:tc>
          <w:tcPr>
            <w:tcW w:w="1081"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 w:val="20"/>
                <w:szCs w:val="20"/>
              </w:rPr>
              <w:t>经济分类科目编码</w:t>
            </w:r>
          </w:p>
        </w:tc>
        <w:tc>
          <w:tcPr>
            <w:tcW w:w="2850"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966"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c>
          <w:tcPr>
            <w:tcW w:w="1116"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经济分类科目编码</w:t>
            </w:r>
          </w:p>
        </w:tc>
        <w:tc>
          <w:tcPr>
            <w:tcW w:w="2018"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933"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c>
          <w:tcPr>
            <w:tcW w:w="1217"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经济分类科目编码</w:t>
            </w:r>
          </w:p>
        </w:tc>
        <w:tc>
          <w:tcPr>
            <w:tcW w:w="3517"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929"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工资福利支出</w:t>
            </w:r>
          </w:p>
        </w:tc>
        <w:tc>
          <w:tcPr>
            <w:tcW w:w="966" w:type="dxa"/>
            <w:tcBorders>
              <w:top w:val="nil"/>
              <w:left w:val="nil"/>
              <w:bottom w:val="single" w:color="auto" w:sz="4" w:space="0"/>
              <w:right w:val="single" w:color="auto" w:sz="4" w:space="0"/>
            </w:tcBorders>
            <w:shd w:val="clear" w:color="auto" w:fill="auto"/>
            <w:noWrap/>
            <w:vAlign w:val="center"/>
          </w:tcPr>
          <w:p>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1169109.72</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商品和服务支出</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债务利息及费用支出</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30101</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基本工资</w:t>
            </w:r>
          </w:p>
        </w:tc>
        <w:tc>
          <w:tcPr>
            <w:tcW w:w="966" w:type="dxa"/>
            <w:tcBorders>
              <w:top w:val="nil"/>
              <w:left w:val="nil"/>
              <w:bottom w:val="single" w:color="auto" w:sz="4" w:space="0"/>
              <w:right w:val="single" w:color="auto" w:sz="4" w:space="0"/>
            </w:tcBorders>
            <w:shd w:val="clear" w:color="auto" w:fill="auto"/>
            <w:noWrap/>
            <w:vAlign w:val="center"/>
          </w:tcPr>
          <w:p>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49.83</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30201</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办公费</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14.17</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30701</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国内债务付息</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30102</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津贴补贴</w:t>
            </w:r>
          </w:p>
        </w:tc>
        <w:tc>
          <w:tcPr>
            <w:tcW w:w="966" w:type="dxa"/>
            <w:tcBorders>
              <w:top w:val="nil"/>
              <w:left w:val="nil"/>
              <w:bottom w:val="single" w:color="auto" w:sz="4" w:space="0"/>
              <w:right w:val="single" w:color="auto" w:sz="4" w:space="0"/>
            </w:tcBorders>
            <w:shd w:val="clear" w:color="auto" w:fill="auto"/>
            <w:noWrap/>
            <w:vAlign w:val="center"/>
          </w:tcPr>
          <w:p>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21.54</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30202</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印刷费</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4.11</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30702</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国外债务付息</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30103</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奖金</w:t>
            </w:r>
          </w:p>
        </w:tc>
        <w:tc>
          <w:tcPr>
            <w:tcW w:w="966" w:type="dxa"/>
            <w:tcBorders>
              <w:top w:val="nil"/>
              <w:left w:val="nil"/>
              <w:bottom w:val="single" w:color="auto" w:sz="4" w:space="0"/>
              <w:right w:val="single" w:color="auto" w:sz="4" w:space="0"/>
            </w:tcBorders>
            <w:shd w:val="clear" w:color="auto" w:fill="auto"/>
            <w:noWrap/>
            <w:vAlign w:val="center"/>
          </w:tcPr>
          <w:p>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4.18</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30203</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咨询费</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资本性支出</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30106</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伙食补助费</w:t>
            </w:r>
          </w:p>
        </w:tc>
        <w:tc>
          <w:tcPr>
            <w:tcW w:w="96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30204</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手续费</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31001</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房屋建筑物购建</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30107</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绩效工资</w:t>
            </w:r>
          </w:p>
        </w:tc>
        <w:tc>
          <w:tcPr>
            <w:tcW w:w="966" w:type="dxa"/>
            <w:tcBorders>
              <w:top w:val="nil"/>
              <w:left w:val="nil"/>
              <w:bottom w:val="single" w:color="auto" w:sz="4" w:space="0"/>
              <w:right w:val="single" w:color="auto" w:sz="4" w:space="0"/>
            </w:tcBorders>
            <w:shd w:val="clear" w:color="auto" w:fill="auto"/>
            <w:noWrap/>
            <w:vAlign w:val="center"/>
          </w:tcPr>
          <w:p>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16.74</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30205</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水费</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0.17</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31002</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办公设备购置</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30108</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机关事业单位基本养老保险缴费</w:t>
            </w:r>
          </w:p>
        </w:tc>
        <w:tc>
          <w:tcPr>
            <w:tcW w:w="966" w:type="dxa"/>
            <w:tcBorders>
              <w:top w:val="nil"/>
              <w:left w:val="nil"/>
              <w:bottom w:val="single" w:color="auto" w:sz="4" w:space="0"/>
              <w:right w:val="single" w:color="auto" w:sz="4" w:space="0"/>
            </w:tcBorders>
            <w:shd w:val="clear" w:color="auto" w:fill="auto"/>
            <w:noWrap/>
            <w:vAlign w:val="center"/>
          </w:tcPr>
          <w:p>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11.24</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30206</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电费</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3.14</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31003</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专用设备购置</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30109</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职业年金缴费</w:t>
            </w:r>
          </w:p>
        </w:tc>
        <w:tc>
          <w:tcPr>
            <w:tcW w:w="96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30207</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邮电费</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31005</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基础设施建设</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30110</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职工基本医疗保险缴费</w:t>
            </w:r>
          </w:p>
        </w:tc>
        <w:tc>
          <w:tcPr>
            <w:tcW w:w="966" w:type="dxa"/>
            <w:tcBorders>
              <w:top w:val="nil"/>
              <w:left w:val="nil"/>
              <w:bottom w:val="single" w:color="auto" w:sz="4" w:space="0"/>
              <w:right w:val="single" w:color="auto" w:sz="4" w:space="0"/>
            </w:tcBorders>
            <w:shd w:val="clear" w:color="auto" w:fill="auto"/>
            <w:noWrap/>
            <w:vAlign w:val="center"/>
          </w:tcPr>
          <w:p>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6.18</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30208</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取暖费</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31006</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大型修缮</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30111</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公务员医疗补助缴费</w:t>
            </w:r>
          </w:p>
        </w:tc>
        <w:tc>
          <w:tcPr>
            <w:tcW w:w="96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30209</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物业管理费</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31007</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信息网络及软件购置更新</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30112</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其他社会保障缴费</w:t>
            </w:r>
          </w:p>
        </w:tc>
        <w:tc>
          <w:tcPr>
            <w:tcW w:w="96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30211</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差旅费</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0.37</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31008</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物资储备</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30113</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住房公积金</w:t>
            </w:r>
          </w:p>
        </w:tc>
        <w:tc>
          <w:tcPr>
            <w:tcW w:w="96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30212</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因公出国（境）费用</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31009</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土地补偿</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30114</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医疗费</w:t>
            </w:r>
          </w:p>
        </w:tc>
        <w:tc>
          <w:tcPr>
            <w:tcW w:w="96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30213</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维修（护）费</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4.73</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31010</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安置补助</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30199</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其他工资福利支出</w:t>
            </w:r>
          </w:p>
        </w:tc>
        <w:tc>
          <w:tcPr>
            <w:tcW w:w="96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30214</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租赁费</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31011</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地上附着物和青苗补偿</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对个人和家庭的补助</w:t>
            </w:r>
          </w:p>
        </w:tc>
        <w:tc>
          <w:tcPr>
            <w:tcW w:w="96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30215</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会议费</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31012</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拆迁补偿</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30301</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离休费</w:t>
            </w:r>
          </w:p>
        </w:tc>
        <w:tc>
          <w:tcPr>
            <w:tcW w:w="96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30216</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培训费</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0.25</w:t>
            </w: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31013</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公务用车购置</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30302</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退休费</w:t>
            </w:r>
          </w:p>
        </w:tc>
        <w:tc>
          <w:tcPr>
            <w:tcW w:w="96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30217</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公务接待费</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31019</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其他交通工具购置</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30303</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退职（役）费</w:t>
            </w:r>
          </w:p>
        </w:tc>
        <w:tc>
          <w:tcPr>
            <w:tcW w:w="96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30218</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专用材料费</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31021</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文物和陈列品购置</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30304</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抚恤金</w:t>
            </w:r>
          </w:p>
        </w:tc>
        <w:tc>
          <w:tcPr>
            <w:tcW w:w="96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30224</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被装购置费</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31022</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无形资产购置</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30305</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生活补助</w:t>
            </w:r>
          </w:p>
        </w:tc>
        <w:tc>
          <w:tcPr>
            <w:tcW w:w="96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30225</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专用燃料费</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31099</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其他资本性支出</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30306</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救济费</w:t>
            </w:r>
          </w:p>
        </w:tc>
        <w:tc>
          <w:tcPr>
            <w:tcW w:w="96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30226</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劳务费</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5.78</w:t>
            </w: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其他支出</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30307</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医疗费补助</w:t>
            </w:r>
          </w:p>
        </w:tc>
        <w:tc>
          <w:tcPr>
            <w:tcW w:w="96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30227</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委托业务费</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39907</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国家赔偿费用支出</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30308</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助学金</w:t>
            </w:r>
          </w:p>
        </w:tc>
        <w:tc>
          <w:tcPr>
            <w:tcW w:w="96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30228</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工会经费</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4.98</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39908</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对民间非营利组织和群众性自治组织补贴</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30309</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奖励金</w:t>
            </w:r>
          </w:p>
        </w:tc>
        <w:tc>
          <w:tcPr>
            <w:tcW w:w="96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30229</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福利费</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hint="eastAsia"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8</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39909</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经常性赠与</w:t>
            </w:r>
          </w:p>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资本性赠与</w:t>
            </w:r>
          </w:p>
          <w:p>
            <w:pPr>
              <w:widowControl/>
              <w:jc w:val="left"/>
              <w:rPr>
                <w:rFonts w:ascii="Times New Roman" w:hAnsi="Times New Roman" w:eastAsia="仿宋_GB2312" w:cs="Times New Roman"/>
                <w:color w:val="000000"/>
                <w:kern w:val="0"/>
                <w:szCs w:val="20"/>
              </w:rPr>
            </w:pPr>
          </w:p>
          <w:tbl>
            <w:tblPr>
              <w:tblStyle w:val="10"/>
              <w:tblW w:w="3946" w:type="dxa"/>
              <w:tblInd w:w="0" w:type="dxa"/>
              <w:tblLayout w:type="fixed"/>
              <w:tblCellMar>
                <w:top w:w="0" w:type="dxa"/>
                <w:left w:w="108" w:type="dxa"/>
                <w:bottom w:w="0" w:type="dxa"/>
                <w:right w:w="108" w:type="dxa"/>
              </w:tblCellMar>
            </w:tblPr>
            <w:tblGrid>
              <w:gridCol w:w="3946"/>
            </w:tblGrid>
            <w:tr>
              <w:tblPrEx>
                <w:tblCellMar>
                  <w:top w:w="0" w:type="dxa"/>
                  <w:left w:w="108" w:type="dxa"/>
                  <w:bottom w:w="0" w:type="dxa"/>
                  <w:right w:w="108" w:type="dxa"/>
                </w:tblCellMar>
              </w:tblPrEx>
              <w:trPr>
                <w:trHeight w:val="252" w:hRule="atLeast"/>
              </w:trPr>
              <w:tc>
                <w:tcPr>
                  <w:tcW w:w="3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经常性赠与</w:t>
                  </w:r>
                </w:p>
              </w:tc>
            </w:tr>
            <w:tr>
              <w:tblPrEx>
                <w:tblCellMar>
                  <w:top w:w="0" w:type="dxa"/>
                  <w:left w:w="108" w:type="dxa"/>
                  <w:bottom w:w="0" w:type="dxa"/>
                  <w:right w:w="108" w:type="dxa"/>
                </w:tblCellMar>
              </w:tblPrEx>
              <w:trPr>
                <w:trHeight w:val="252" w:hRule="atLeast"/>
              </w:trPr>
              <w:tc>
                <w:tcPr>
                  <w:tcW w:w="3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资本性赠与</w:t>
                  </w:r>
                </w:p>
              </w:tc>
            </w:tr>
          </w:tbl>
          <w:p>
            <w:pPr>
              <w:widowControl/>
              <w:jc w:val="left"/>
              <w:rPr>
                <w:rFonts w:ascii="Times New Roman" w:hAnsi="Times New Roman" w:eastAsia="仿宋_GB2312" w:cs="Times New Roman"/>
                <w:color w:val="000000"/>
                <w:kern w:val="0"/>
                <w:szCs w:val="20"/>
              </w:rPr>
            </w:pPr>
          </w:p>
          <w:tbl>
            <w:tblPr>
              <w:tblStyle w:val="10"/>
              <w:tblW w:w="3946" w:type="dxa"/>
              <w:tblInd w:w="0" w:type="dxa"/>
              <w:tblLayout w:type="fixed"/>
              <w:tblCellMar>
                <w:top w:w="0" w:type="dxa"/>
                <w:left w:w="108" w:type="dxa"/>
                <w:bottom w:w="0" w:type="dxa"/>
                <w:right w:w="108" w:type="dxa"/>
              </w:tblCellMar>
            </w:tblPr>
            <w:tblGrid>
              <w:gridCol w:w="3946"/>
            </w:tblGrid>
            <w:tr>
              <w:tblPrEx>
                <w:tblCellMar>
                  <w:top w:w="0" w:type="dxa"/>
                  <w:left w:w="108" w:type="dxa"/>
                  <w:bottom w:w="0" w:type="dxa"/>
                  <w:right w:w="108" w:type="dxa"/>
                </w:tblCellMar>
              </w:tblPrEx>
              <w:trPr>
                <w:trHeight w:val="252" w:hRule="atLeast"/>
              </w:trPr>
              <w:tc>
                <w:tcPr>
                  <w:tcW w:w="3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经常性赠与</w:t>
                  </w:r>
                </w:p>
              </w:tc>
            </w:tr>
            <w:tr>
              <w:tblPrEx>
                <w:tblCellMar>
                  <w:top w:w="0" w:type="dxa"/>
                  <w:left w:w="108" w:type="dxa"/>
                  <w:bottom w:w="0" w:type="dxa"/>
                  <w:right w:w="108" w:type="dxa"/>
                </w:tblCellMar>
              </w:tblPrEx>
              <w:trPr>
                <w:trHeight w:val="252" w:hRule="atLeast"/>
              </w:trPr>
              <w:tc>
                <w:tcPr>
                  <w:tcW w:w="3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资本性赠与</w:t>
                  </w:r>
                </w:p>
              </w:tc>
            </w:tr>
          </w:tbl>
          <w:p>
            <w:pPr>
              <w:widowControl/>
              <w:jc w:val="left"/>
              <w:rPr>
                <w:rFonts w:ascii="Times New Roman" w:hAnsi="Times New Roman" w:eastAsia="仿宋_GB2312" w:cs="Times New Roman"/>
                <w:color w:val="000000"/>
                <w:kern w:val="0"/>
                <w:szCs w:val="20"/>
              </w:rPr>
            </w:pP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30310</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个人农业生产补贴</w:t>
            </w:r>
          </w:p>
        </w:tc>
        <w:tc>
          <w:tcPr>
            <w:tcW w:w="96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30231</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公务用车运行维护费</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0.87</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39910</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资本性赠与</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30311</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代缴社会保险费</w:t>
            </w:r>
          </w:p>
        </w:tc>
        <w:tc>
          <w:tcPr>
            <w:tcW w:w="96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30239</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其他交通费用</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7.91</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39999</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其他支出</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30399</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其他对个人和家庭的补助</w:t>
            </w:r>
          </w:p>
        </w:tc>
        <w:tc>
          <w:tcPr>
            <w:tcW w:w="96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30240</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税金及附加费用</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96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30299</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其他商品和服务支出</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3931"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人员经费合计</w:t>
            </w:r>
          </w:p>
        </w:tc>
        <w:tc>
          <w:tcPr>
            <w:tcW w:w="966" w:type="dxa"/>
            <w:tcBorders>
              <w:top w:val="nil"/>
              <w:left w:val="nil"/>
              <w:bottom w:val="single" w:color="auto" w:sz="4" w:space="0"/>
              <w:right w:val="single" w:color="auto" w:sz="4" w:space="0"/>
            </w:tcBorders>
            <w:shd w:val="clear" w:color="auto" w:fill="auto"/>
            <w:noWrap/>
            <w:vAlign w:val="center"/>
          </w:tcPr>
          <w:p>
            <w:pPr>
              <w:widowControl/>
              <w:jc w:val="left"/>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109.73</w:t>
            </w: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1109.72</w:t>
            </w:r>
          </w:p>
        </w:tc>
        <w:tc>
          <w:tcPr>
            <w:tcW w:w="8801" w:type="dxa"/>
            <w:gridSpan w:val="5"/>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公用经费合计</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hint="default" w:ascii="Times New Roman" w:hAnsi="Times New Roman" w:eastAsia="仿宋_GB2312" w:cs="Times New Roman"/>
                <w:color w:val="000000"/>
                <w:kern w:val="0"/>
                <w:szCs w:val="18"/>
                <w:lang w:val="en-US" w:eastAsia="zh-CN"/>
              </w:rPr>
            </w:pPr>
            <w:r>
              <w:rPr>
                <w:rFonts w:ascii="Times New Roman" w:hAnsi="Times New Roman" w:eastAsia="仿宋_GB2312" w:cs="Times New Roman"/>
                <w:color w:val="000000"/>
                <w:kern w:val="0"/>
                <w:szCs w:val="18"/>
              </w:rPr>
              <w:t>　</w:t>
            </w:r>
            <w:r>
              <w:rPr>
                <w:rFonts w:hint="eastAsia" w:ascii="Times New Roman" w:hAnsi="Times New Roman" w:eastAsia="仿宋_GB2312" w:cs="Times New Roman"/>
                <w:color w:val="000000"/>
                <w:kern w:val="0"/>
                <w:szCs w:val="18"/>
                <w:lang w:val="en-US" w:eastAsia="zh-CN"/>
              </w:rPr>
              <w:t>54.48</w:t>
            </w:r>
          </w:p>
        </w:tc>
      </w:tr>
    </w:tbl>
    <w:p>
      <w:pPr>
        <w:widowControl/>
        <w:jc w:val="left"/>
        <w:rPr>
          <w:rFonts w:ascii="Times New Roman" w:hAnsi="Times New Roman" w:eastAsia="仿宋_GB2312" w:cs="Times New Roman"/>
          <w:color w:val="000000"/>
          <w:kern w:val="0"/>
          <w:szCs w:val="24"/>
        </w:rPr>
      </w:pPr>
      <w:r>
        <w:rPr>
          <w:rFonts w:ascii="Times New Roman" w:hAnsi="Times New Roman" w:eastAsia="仿宋_GB2312" w:cs="Times New Roman"/>
          <w:color w:val="000000"/>
          <w:kern w:val="0"/>
          <w:szCs w:val="24"/>
        </w:rPr>
        <w:t>注：本表反映部门本年度一般公共预算财政拨款基本支出明细情况。</w:t>
      </w:r>
    </w:p>
    <w:p>
      <w:pPr>
        <w:widowControl/>
        <w:spacing w:line="400" w:lineRule="exact"/>
        <w:jc w:val="center"/>
        <w:textAlignment w:val="center"/>
        <w:rPr>
          <w:rFonts w:ascii="Times New Roman" w:hAnsi="Times New Roman" w:eastAsia="仿宋_GB2312" w:cs="Times New Roman"/>
          <w:color w:val="000000"/>
          <w:kern w:val="0"/>
          <w:sz w:val="32"/>
          <w:szCs w:val="32"/>
          <w:lang w:bidi="ar"/>
        </w:rPr>
      </w:pPr>
    </w:p>
    <w:p>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政府性基金预算财政拨款收入支出决算表</w:t>
      </w:r>
    </w:p>
    <w:p>
      <w:pPr>
        <w:widowControl/>
        <w:tabs>
          <w:tab w:val="left" w:pos="920"/>
          <w:tab w:val="left" w:pos="1157"/>
          <w:tab w:val="left" w:pos="2434"/>
          <w:tab w:val="left" w:pos="4352"/>
          <w:tab w:val="left" w:pos="6295"/>
          <w:tab w:val="left" w:pos="8214"/>
          <w:tab w:val="left" w:pos="10149"/>
          <w:tab w:val="left" w:pos="12067"/>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lang w:bidi="ar"/>
        </w:rPr>
        <w:t>公开07表</w:t>
      </w:r>
    </w:p>
    <w:p>
      <w:pPr>
        <w:widowControl/>
        <w:tabs>
          <w:tab w:val="left" w:pos="920"/>
          <w:tab w:val="left" w:pos="1157"/>
          <w:tab w:val="left" w:pos="2434"/>
          <w:tab w:val="left" w:pos="4352"/>
          <w:tab w:val="left" w:pos="6295"/>
          <w:tab w:val="left" w:pos="8214"/>
          <w:tab w:val="left" w:pos="10149"/>
          <w:tab w:val="left" w:pos="12067"/>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部门：</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lang w:bidi="ar"/>
        </w:rPr>
        <w:t>单位：万元</w:t>
      </w:r>
    </w:p>
    <w:tbl>
      <w:tblPr>
        <w:tblStyle w:val="10"/>
        <w:tblW w:w="14326" w:type="dxa"/>
        <w:jc w:val="center"/>
        <w:tblLayout w:type="fixed"/>
        <w:tblCellMar>
          <w:top w:w="0" w:type="dxa"/>
          <w:left w:w="108" w:type="dxa"/>
          <w:bottom w:w="0" w:type="dxa"/>
          <w:right w:w="108" w:type="dxa"/>
        </w:tblCellMar>
      </w:tblPr>
      <w:tblGrid>
        <w:gridCol w:w="1497"/>
        <w:gridCol w:w="1277"/>
        <w:gridCol w:w="1918"/>
        <w:gridCol w:w="1943"/>
        <w:gridCol w:w="1919"/>
        <w:gridCol w:w="1935"/>
        <w:gridCol w:w="1918"/>
        <w:gridCol w:w="1919"/>
      </w:tblGrid>
      <w:tr>
        <w:tblPrEx>
          <w:tblCellMar>
            <w:top w:w="0" w:type="dxa"/>
            <w:left w:w="108" w:type="dxa"/>
            <w:bottom w:w="0" w:type="dxa"/>
            <w:right w:w="108" w:type="dxa"/>
          </w:tblCellMar>
        </w:tblPrEx>
        <w:trPr>
          <w:trHeight w:val="45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项 </w:t>
            </w:r>
            <w:r>
              <w:rPr>
                <w:rStyle w:val="17"/>
                <w:rFonts w:hint="default" w:ascii="Times New Roman" w:hAnsi="Times New Roman" w:eastAsia="仿宋_GB2312" w:cs="Times New Roman"/>
                <w:b/>
                <w:bCs/>
                <w:lang w:bidi="ar"/>
              </w:rPr>
              <w:t xml:space="preserve">   </w:t>
            </w:r>
            <w:r>
              <w:rPr>
                <w:rStyle w:val="18"/>
                <w:rFonts w:hint="default" w:ascii="Times New Roman" w:hAnsi="Times New Roman" w:eastAsia="仿宋_GB2312" w:cs="Times New Roman"/>
                <w:b/>
                <w:bCs/>
                <w:lang w:bidi="ar"/>
              </w:rPr>
              <w:t>目</w:t>
            </w:r>
          </w:p>
        </w:tc>
        <w:tc>
          <w:tcPr>
            <w:tcW w:w="19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年初结转和结余</w:t>
            </w:r>
          </w:p>
        </w:tc>
        <w:tc>
          <w:tcPr>
            <w:tcW w:w="194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本年收入</w:t>
            </w:r>
          </w:p>
        </w:tc>
        <w:tc>
          <w:tcPr>
            <w:tcW w:w="577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本年支出</w:t>
            </w:r>
          </w:p>
        </w:tc>
        <w:tc>
          <w:tcPr>
            <w:tcW w:w="19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年末结转和结余</w:t>
            </w:r>
          </w:p>
        </w:tc>
      </w:tr>
      <w:tr>
        <w:tblPrEx>
          <w:tblCellMar>
            <w:top w:w="0" w:type="dxa"/>
            <w:left w:w="108" w:type="dxa"/>
            <w:bottom w:w="0" w:type="dxa"/>
            <w:right w:w="108" w:type="dxa"/>
          </w:tblCellMar>
        </w:tblPrEx>
        <w:trPr>
          <w:trHeight w:val="312" w:hRule="exact"/>
          <w:jc w:val="center"/>
        </w:trPr>
        <w:tc>
          <w:tcPr>
            <w:tcW w:w="149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科目代码</w:t>
            </w:r>
          </w:p>
        </w:tc>
        <w:tc>
          <w:tcPr>
            <w:tcW w:w="127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科目名称</w:t>
            </w: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Times New Roman" w:hAnsi="Times New Roman" w:eastAsia="仿宋_GB2312" w:cs="Times New Roman"/>
                <w:b/>
                <w:bCs/>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Times New Roman" w:hAnsi="Times New Roman" w:eastAsia="仿宋_GB2312" w:cs="Times New Roman"/>
                <w:b/>
                <w:bCs/>
                <w:color w:val="000000"/>
                <w:sz w:val="24"/>
                <w:szCs w:val="24"/>
              </w:rPr>
            </w:pPr>
          </w:p>
        </w:tc>
        <w:tc>
          <w:tcPr>
            <w:tcW w:w="19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小计</w:t>
            </w:r>
          </w:p>
        </w:tc>
        <w:tc>
          <w:tcPr>
            <w:tcW w:w="193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基本支出  </w:t>
            </w:r>
          </w:p>
        </w:tc>
        <w:tc>
          <w:tcPr>
            <w:tcW w:w="19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项目支出</w:t>
            </w: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409" w:hRule="atLeast"/>
          <w:jc w:val="center"/>
        </w:trPr>
        <w:tc>
          <w:tcPr>
            <w:tcW w:w="14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2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312" w:hRule="atLeast"/>
          <w:jc w:val="center"/>
        </w:trPr>
        <w:tc>
          <w:tcPr>
            <w:tcW w:w="14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2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0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栏次</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1</w:t>
            </w: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2</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3</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4</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5</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6</w:t>
            </w:r>
          </w:p>
        </w:tc>
      </w:tr>
      <w:tr>
        <w:tblPrEx>
          <w:tblCellMar>
            <w:top w:w="0" w:type="dxa"/>
            <w:left w:w="108" w:type="dxa"/>
            <w:bottom w:w="0" w:type="dxa"/>
            <w:right w:w="108" w:type="dxa"/>
          </w:tblCellMar>
        </w:tblPrEx>
        <w:trPr>
          <w:trHeight w:val="50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合计</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0"/>
                <w:szCs w:val="20"/>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0"/>
                <w:szCs w:val="20"/>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r>
    </w:tbl>
    <w:p>
      <w:pPr>
        <w:widowControl/>
        <w:spacing w:before="120"/>
        <w:jc w:val="left"/>
        <w:textAlignment w:val="center"/>
        <w:rPr>
          <w:rFonts w:ascii="Times New Roman" w:hAnsi="Times New Roman" w:eastAsia="仿宋_GB2312" w:cs="Times New Roman"/>
          <w:color w:val="000000"/>
          <w:kern w:val="0"/>
          <w:sz w:val="24"/>
          <w:szCs w:val="24"/>
          <w:lang w:bidi="ar"/>
        </w:rPr>
      </w:pPr>
      <w:r>
        <w:rPr>
          <w:rFonts w:ascii="Times New Roman" w:hAnsi="Times New Roman" w:eastAsia="仿宋_GB2312" w:cs="Times New Roman"/>
          <w:color w:val="000000"/>
          <w:kern w:val="0"/>
          <w:sz w:val="24"/>
          <w:szCs w:val="24"/>
          <w:lang w:bidi="ar"/>
        </w:rPr>
        <w:t>注：本表反映部门本年度政府性基金预算财政拨款收入、支出及结转和结余情况。</w:t>
      </w:r>
    </w:p>
    <w:p>
      <w:pPr>
        <w:widowControl/>
        <w:jc w:val="left"/>
        <w:textAlignment w:val="center"/>
        <w:rPr>
          <w:rFonts w:ascii="Times New Roman" w:hAnsi="Times New Roman" w:eastAsia="仿宋_GB2312" w:cs="Times New Roman"/>
          <w:color w:val="000000"/>
          <w:kern w:val="0"/>
          <w:sz w:val="24"/>
          <w:szCs w:val="24"/>
          <w:lang w:bidi="ar"/>
        </w:rPr>
      </w:pPr>
    </w:p>
    <w:p>
      <w:pPr>
        <w:widowControl/>
        <w:jc w:val="left"/>
        <w:textAlignment w:val="center"/>
        <w:rPr>
          <w:rFonts w:ascii="Times New Roman" w:hAnsi="Times New Roman" w:eastAsia="仿宋_GB2312" w:cs="Times New Roman"/>
          <w:color w:val="000000"/>
          <w:kern w:val="0"/>
          <w:sz w:val="24"/>
          <w:szCs w:val="24"/>
          <w:lang w:bidi="ar"/>
        </w:rPr>
      </w:pPr>
      <w:r>
        <w:rPr>
          <w:rFonts w:ascii="Times New Roman" w:hAnsi="Times New Roman" w:eastAsia="仿宋_GB2312" w:cs="Times New Roman"/>
          <w:b/>
          <w:bCs/>
          <w:kern w:val="0"/>
          <w:sz w:val="24"/>
          <w:szCs w:val="24"/>
          <w:lang w:bidi="ar"/>
        </w:rPr>
        <w:t>说明：我单位没有政府性基金收入，也没有使用政府性基金安排的支出，故本表无数据。（当表格数据为空时，应有此说明）</w:t>
      </w:r>
    </w:p>
    <w:p>
      <w:pPr>
        <w:widowControl/>
        <w:jc w:val="center"/>
        <w:rPr>
          <w:rFonts w:ascii="Times New Roman" w:hAnsi="Times New Roman" w:eastAsia="方正小标宋_GBK" w:cs="Times New Roman"/>
          <w:color w:val="000000"/>
          <w:kern w:val="0"/>
          <w:sz w:val="36"/>
          <w:szCs w:val="36"/>
        </w:rPr>
      </w:pPr>
    </w:p>
    <w:p>
      <w:pPr>
        <w:widowControl/>
        <w:spacing w:line="400" w:lineRule="exact"/>
        <w:textAlignment w:val="center"/>
        <w:rPr>
          <w:rFonts w:ascii="Times New Roman" w:hAnsi="Times New Roman" w:eastAsia="黑体" w:cs="Times New Roman"/>
          <w:color w:val="000000"/>
          <w:kern w:val="0"/>
          <w:sz w:val="36"/>
          <w:szCs w:val="36"/>
          <w:lang w:bidi="ar"/>
        </w:rPr>
      </w:pPr>
    </w:p>
    <w:p>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国有资本经营预算财政拨款支出决算表</w:t>
      </w:r>
    </w:p>
    <w:p>
      <w:pPr>
        <w:widowControl/>
        <w:tabs>
          <w:tab w:val="left" w:pos="1326"/>
          <w:tab w:val="left" w:pos="2027"/>
          <w:tab w:val="left" w:pos="4319"/>
          <w:tab w:val="left" w:pos="7634"/>
          <w:tab w:val="left" w:pos="10949"/>
        </w:tabs>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公开08表</w:t>
      </w:r>
    </w:p>
    <w:p>
      <w:pPr>
        <w:widowControl/>
        <w:tabs>
          <w:tab w:val="left" w:pos="1326"/>
          <w:tab w:val="left" w:pos="2027"/>
          <w:tab w:val="left" w:pos="4319"/>
          <w:tab w:val="left" w:pos="7634"/>
          <w:tab w:val="left" w:pos="10949"/>
        </w:tabs>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部门：</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lang w:bidi="ar"/>
        </w:rPr>
        <w:t>单位：万元</w:t>
      </w:r>
    </w:p>
    <w:tbl>
      <w:tblPr>
        <w:tblStyle w:val="10"/>
        <w:tblW w:w="4999" w:type="pct"/>
        <w:tblInd w:w="0" w:type="dxa"/>
        <w:tblLayout w:type="autofit"/>
        <w:tblCellMar>
          <w:top w:w="0" w:type="dxa"/>
          <w:left w:w="108" w:type="dxa"/>
          <w:bottom w:w="0" w:type="dxa"/>
          <w:right w:w="108" w:type="dxa"/>
        </w:tblCellMar>
      </w:tblPr>
      <w:tblGrid>
        <w:gridCol w:w="3094"/>
        <w:gridCol w:w="3097"/>
        <w:gridCol w:w="1832"/>
        <w:gridCol w:w="3097"/>
        <w:gridCol w:w="3097"/>
      </w:tblGrid>
      <w:tr>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项 </w:t>
            </w:r>
            <w:r>
              <w:rPr>
                <w:rFonts w:ascii="Times New Roman" w:hAnsi="Times New Roman" w:eastAsia="仿宋_GB2312" w:cs="Times New Roman"/>
                <w:b/>
                <w:bCs/>
                <w:color w:val="000000"/>
                <w:kern w:val="0"/>
                <w:sz w:val="22"/>
                <w:lang w:bidi="ar"/>
              </w:rPr>
              <w:t xml:space="preserve">   </w:t>
            </w:r>
            <w:r>
              <w:rPr>
                <w:rStyle w:val="19"/>
                <w:rFonts w:hint="default" w:ascii="Times New Roman" w:hAnsi="Times New Roman" w:eastAsia="仿宋_GB2312" w:cs="Times New Roman"/>
                <w:b/>
                <w:bCs/>
                <w:lang w:bidi="ar"/>
              </w:rPr>
              <w:t>目</w:t>
            </w:r>
          </w:p>
        </w:tc>
        <w:tc>
          <w:tcPr>
            <w:tcW w:w="282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本年支出</w:t>
            </w:r>
          </w:p>
        </w:tc>
      </w:tr>
      <w:tr>
        <w:tblPrEx>
          <w:tblCellMar>
            <w:top w:w="0" w:type="dxa"/>
            <w:left w:w="108" w:type="dxa"/>
            <w:bottom w:w="0" w:type="dxa"/>
            <w:right w:w="108" w:type="dxa"/>
          </w:tblCellMar>
        </w:tblPrEx>
        <w:trPr>
          <w:trHeight w:val="312" w:hRule="exact"/>
        </w:trPr>
        <w:tc>
          <w:tcPr>
            <w:tcW w:w="108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科目代码</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科目名称</w:t>
            </w:r>
          </w:p>
        </w:tc>
        <w:tc>
          <w:tcPr>
            <w:tcW w:w="64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合计</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基本支出  </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项目支出</w:t>
            </w:r>
          </w:p>
        </w:tc>
      </w:tr>
      <w:tr>
        <w:tblPrEx>
          <w:tblCellMar>
            <w:top w:w="0" w:type="dxa"/>
            <w:left w:w="108" w:type="dxa"/>
            <w:bottom w:w="0" w:type="dxa"/>
            <w:right w:w="108" w:type="dxa"/>
          </w:tblCellMar>
        </w:tblPrEx>
        <w:trPr>
          <w:trHeight w:val="312" w:hRule="exact"/>
        </w:trPr>
        <w:tc>
          <w:tcPr>
            <w:tcW w:w="108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64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312" w:hRule="atLeast"/>
        </w:trPr>
        <w:tc>
          <w:tcPr>
            <w:tcW w:w="108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64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栏次</w:t>
            </w: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1</w:t>
            </w: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2</w:t>
            </w: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3</w:t>
            </w:r>
          </w:p>
        </w:tc>
      </w:tr>
      <w:tr>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合计</w:t>
            </w: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0"/>
                <w:szCs w:val="20"/>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0"/>
                <w:szCs w:val="20"/>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r>
      <w:tr>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r>
      <w:tr>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r>
      <w:tr>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r>
    </w:tbl>
    <w:p>
      <w:pPr>
        <w:widowControl/>
        <w:spacing w:before="120"/>
        <w:jc w:val="left"/>
        <w:textAlignment w:val="center"/>
        <w:rPr>
          <w:rFonts w:ascii="Times New Roman" w:hAnsi="Times New Roman" w:eastAsia="仿宋_GB2312" w:cs="Times New Roman"/>
          <w:color w:val="000000"/>
          <w:kern w:val="0"/>
          <w:sz w:val="24"/>
          <w:szCs w:val="24"/>
          <w:lang w:bidi="ar"/>
        </w:rPr>
      </w:pPr>
      <w:r>
        <w:rPr>
          <w:rFonts w:ascii="Times New Roman" w:hAnsi="Times New Roman" w:eastAsia="仿宋_GB2312" w:cs="Times New Roman"/>
          <w:color w:val="000000"/>
          <w:kern w:val="0"/>
          <w:sz w:val="24"/>
          <w:szCs w:val="24"/>
          <w:lang w:bidi="ar"/>
        </w:rPr>
        <w:t>注：本表反映部门本年度国有资本经营预算财政拨款支出情况。</w:t>
      </w:r>
    </w:p>
    <w:p>
      <w:pPr>
        <w:widowControl/>
        <w:jc w:val="left"/>
        <w:textAlignment w:val="center"/>
        <w:rPr>
          <w:rFonts w:ascii="Times New Roman" w:hAnsi="Times New Roman" w:eastAsia="宋体" w:cs="Times New Roman"/>
          <w:color w:val="000000"/>
          <w:kern w:val="0"/>
          <w:sz w:val="24"/>
          <w:szCs w:val="24"/>
          <w:lang w:bidi="ar"/>
        </w:rPr>
      </w:pPr>
    </w:p>
    <w:p>
      <w:pPr>
        <w:widowControl/>
        <w:jc w:val="left"/>
        <w:textAlignment w:val="center"/>
        <w:rPr>
          <w:rFonts w:ascii="Times New Roman" w:hAnsi="Times New Roman" w:eastAsia="楷体_GB2312" w:cs="Times New Roman"/>
          <w:color w:val="000000"/>
          <w:kern w:val="0"/>
          <w:sz w:val="24"/>
          <w:szCs w:val="24"/>
          <w:lang w:bidi="ar"/>
        </w:rPr>
      </w:pPr>
      <w:r>
        <w:rPr>
          <w:rFonts w:ascii="Times New Roman" w:hAnsi="Times New Roman" w:eastAsia="楷体_GB2312" w:cs="Times New Roman"/>
          <w:b/>
          <w:bCs/>
          <w:kern w:val="0"/>
          <w:sz w:val="24"/>
          <w:szCs w:val="24"/>
          <w:lang w:bidi="ar"/>
        </w:rPr>
        <w:t>说明：我单位没有使用国有资本经营预算安排的支出，故本表无数据。（当表格数据为空时，应有此说明）</w:t>
      </w:r>
    </w:p>
    <w:p>
      <w:pPr>
        <w:widowControl/>
        <w:jc w:val="center"/>
        <w:rPr>
          <w:rFonts w:ascii="Times New Roman" w:hAnsi="Times New Roman" w:eastAsia="方正小标宋_GBK" w:cs="Times New Roman"/>
          <w:color w:val="000000"/>
          <w:kern w:val="0"/>
          <w:sz w:val="36"/>
          <w:szCs w:val="36"/>
        </w:rPr>
      </w:pPr>
    </w:p>
    <w:p>
      <w:pPr>
        <w:pStyle w:val="8"/>
        <w:spacing w:line="400" w:lineRule="exact"/>
        <w:rPr>
          <w:rFonts w:ascii="Times New Roman" w:hAnsi="Times New Roman" w:eastAsia="华文中宋" w:cs="Times New Roman"/>
          <w:color w:val="000000"/>
          <w:kern w:val="0"/>
          <w:sz w:val="32"/>
          <w:szCs w:val="32"/>
          <w:lang w:bidi="ar"/>
        </w:rPr>
      </w:pPr>
    </w:p>
    <w:p>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财政拨款“三公”经费支出决算表</w:t>
      </w:r>
    </w:p>
    <w:p>
      <w:pPr>
        <w:widowControl/>
        <w:tabs>
          <w:tab w:val="left" w:pos="1260"/>
          <w:tab w:val="left" w:pos="2521"/>
          <w:tab w:val="left" w:pos="3782"/>
          <w:tab w:val="left" w:pos="5043"/>
          <w:tab w:val="left" w:pos="6304"/>
          <w:tab w:val="left" w:pos="7565"/>
          <w:tab w:val="left" w:pos="8826"/>
          <w:tab w:val="left" w:pos="10087"/>
          <w:tab w:val="left" w:pos="11348"/>
          <w:tab w:val="left" w:pos="12609"/>
          <w:tab w:val="left" w:pos="13870"/>
        </w:tabs>
        <w:jc w:val="right"/>
        <w:textAlignment w:val="center"/>
        <w:rPr>
          <w:rFonts w:ascii="Times New Roman" w:hAnsi="Times New Roman" w:eastAsia="楷体_GB2312" w:cs="Times New Roman"/>
          <w:color w:val="000000"/>
          <w:sz w:val="20"/>
          <w:szCs w:val="20"/>
        </w:rPr>
      </w:pP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kern w:val="0"/>
          <w:sz w:val="20"/>
          <w:szCs w:val="20"/>
          <w:lang w:bidi="ar"/>
        </w:rPr>
        <w:t>公开09表</w:t>
      </w:r>
    </w:p>
    <w:p>
      <w:pPr>
        <w:widowControl/>
        <w:tabs>
          <w:tab w:val="left" w:pos="1260"/>
          <w:tab w:val="left" w:pos="2521"/>
          <w:tab w:val="left" w:pos="3782"/>
          <w:tab w:val="left" w:pos="5043"/>
          <w:tab w:val="left" w:pos="6304"/>
          <w:tab w:val="left" w:pos="7565"/>
          <w:tab w:val="left" w:pos="8826"/>
          <w:tab w:val="left" w:pos="10087"/>
          <w:tab w:val="left" w:pos="11348"/>
          <w:tab w:val="left" w:pos="12609"/>
          <w:tab w:val="left" w:pos="13870"/>
        </w:tabs>
        <w:jc w:val="right"/>
        <w:textAlignment w:val="center"/>
        <w:rPr>
          <w:rFonts w:ascii="Times New Roman" w:hAnsi="Times New Roman" w:eastAsia="楷体_GB2312" w:cs="Times New Roman"/>
          <w:color w:val="000000"/>
          <w:sz w:val="20"/>
          <w:szCs w:val="20"/>
        </w:rPr>
      </w:pPr>
      <w:r>
        <w:rPr>
          <w:rFonts w:ascii="Times New Roman" w:hAnsi="Times New Roman" w:eastAsia="楷体_GB2312" w:cs="Times New Roman"/>
          <w:color w:val="000000"/>
          <w:kern w:val="0"/>
          <w:sz w:val="20"/>
          <w:szCs w:val="20"/>
          <w:lang w:bidi="ar"/>
        </w:rPr>
        <w:t>部门：</w:t>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kern w:val="0"/>
          <w:sz w:val="20"/>
          <w:szCs w:val="20"/>
          <w:lang w:bidi="ar"/>
        </w:rPr>
        <w:t>单位：万元</w:t>
      </w:r>
    </w:p>
    <w:tbl>
      <w:tblPr>
        <w:tblStyle w:val="10"/>
        <w:tblW w:w="5114" w:type="pct"/>
        <w:jc w:val="center"/>
        <w:tblLayout w:type="autofit"/>
        <w:tblCellMar>
          <w:top w:w="0" w:type="dxa"/>
          <w:left w:w="108" w:type="dxa"/>
          <w:bottom w:w="0" w:type="dxa"/>
          <w:right w:w="108" w:type="dxa"/>
        </w:tblCellMar>
      </w:tblPr>
      <w:tblGrid>
        <w:gridCol w:w="934"/>
        <w:gridCol w:w="1228"/>
        <w:gridCol w:w="1085"/>
        <w:gridCol w:w="1187"/>
        <w:gridCol w:w="1425"/>
        <w:gridCol w:w="1379"/>
        <w:gridCol w:w="1050"/>
        <w:gridCol w:w="1166"/>
        <w:gridCol w:w="1166"/>
        <w:gridCol w:w="1166"/>
        <w:gridCol w:w="1358"/>
        <w:gridCol w:w="1400"/>
      </w:tblGrid>
      <w:tr>
        <w:tblPrEx>
          <w:tblCellMar>
            <w:top w:w="0" w:type="dxa"/>
            <w:left w:w="108" w:type="dxa"/>
            <w:bottom w:w="0" w:type="dxa"/>
            <w:right w:w="108" w:type="dxa"/>
          </w:tblCellMar>
        </w:tblPrEx>
        <w:trPr>
          <w:trHeight w:val="606" w:hRule="atLeast"/>
          <w:jc w:val="center"/>
        </w:trPr>
        <w:tc>
          <w:tcPr>
            <w:tcW w:w="2486"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预算数</w:t>
            </w:r>
          </w:p>
        </w:tc>
        <w:tc>
          <w:tcPr>
            <w:tcW w:w="2513"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决算数</w:t>
            </w:r>
          </w:p>
        </w:tc>
      </w:tr>
      <w:tr>
        <w:tblPrEx>
          <w:tblCellMar>
            <w:top w:w="0" w:type="dxa"/>
            <w:left w:w="108" w:type="dxa"/>
            <w:bottom w:w="0" w:type="dxa"/>
            <w:right w:w="108" w:type="dxa"/>
          </w:tblCellMar>
        </w:tblPrEx>
        <w:trPr>
          <w:trHeight w:val="495" w:hRule="atLeast"/>
          <w:jc w:val="center"/>
        </w:trPr>
        <w:tc>
          <w:tcPr>
            <w:tcW w:w="32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合计</w:t>
            </w:r>
          </w:p>
        </w:tc>
        <w:tc>
          <w:tcPr>
            <w:tcW w:w="42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因公出国（境）费</w:t>
            </w:r>
          </w:p>
        </w:tc>
        <w:tc>
          <w:tcPr>
            <w:tcW w:w="1271"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公务用车购置及运行维护费</w:t>
            </w:r>
          </w:p>
        </w:tc>
        <w:tc>
          <w:tcPr>
            <w:tcW w:w="47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公务接待费</w:t>
            </w:r>
          </w:p>
        </w:tc>
        <w:tc>
          <w:tcPr>
            <w:tcW w:w="36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合计</w:t>
            </w:r>
          </w:p>
        </w:tc>
        <w:tc>
          <w:tcPr>
            <w:tcW w:w="40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因公出国（境）费</w:t>
            </w:r>
          </w:p>
        </w:tc>
        <w:tc>
          <w:tcPr>
            <w:tcW w:w="126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公务用车购置及运行维护费</w:t>
            </w:r>
          </w:p>
        </w:tc>
        <w:tc>
          <w:tcPr>
            <w:tcW w:w="48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公务接待费</w:t>
            </w:r>
          </w:p>
        </w:tc>
      </w:tr>
      <w:tr>
        <w:tblPrEx>
          <w:tblCellMar>
            <w:top w:w="0" w:type="dxa"/>
            <w:left w:w="108" w:type="dxa"/>
            <w:bottom w:w="0" w:type="dxa"/>
            <w:right w:w="108" w:type="dxa"/>
          </w:tblCellMar>
        </w:tblPrEx>
        <w:trPr>
          <w:trHeight w:val="864" w:hRule="atLeast"/>
          <w:jc w:val="center"/>
        </w:trPr>
        <w:tc>
          <w:tcPr>
            <w:tcW w:w="32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c>
          <w:tcPr>
            <w:tcW w:w="42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小计</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购置费</w:t>
            </w: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运行维护费</w:t>
            </w:r>
          </w:p>
        </w:tc>
        <w:tc>
          <w:tcPr>
            <w:tcW w:w="47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c>
          <w:tcPr>
            <w:tcW w:w="36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c>
          <w:tcPr>
            <w:tcW w:w="40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小计</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购置费</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运行维护费</w:t>
            </w:r>
          </w:p>
        </w:tc>
        <w:tc>
          <w:tcPr>
            <w:tcW w:w="48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r>
      <w:tr>
        <w:tblPrEx>
          <w:tblCellMar>
            <w:top w:w="0" w:type="dxa"/>
            <w:left w:w="108" w:type="dxa"/>
            <w:bottom w:w="0" w:type="dxa"/>
            <w:right w:w="108" w:type="dxa"/>
          </w:tblCellMar>
        </w:tblPrEx>
        <w:trPr>
          <w:trHeight w:val="614" w:hRule="atLeast"/>
          <w:jc w:val="center"/>
        </w:trPr>
        <w:tc>
          <w:tcPr>
            <w:tcW w:w="32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w:t>
            </w:r>
          </w:p>
        </w:tc>
        <w:tc>
          <w:tcPr>
            <w:tcW w:w="42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w:t>
            </w: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3</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4</w:t>
            </w: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5</w:t>
            </w:r>
          </w:p>
        </w:tc>
        <w:tc>
          <w:tcPr>
            <w:tcW w:w="47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6</w:t>
            </w:r>
          </w:p>
        </w:tc>
        <w:tc>
          <w:tcPr>
            <w:tcW w:w="36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7</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8</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9</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10</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11</w:t>
            </w: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12</w:t>
            </w:r>
          </w:p>
        </w:tc>
      </w:tr>
      <w:tr>
        <w:tblPrEx>
          <w:tblCellMar>
            <w:top w:w="0" w:type="dxa"/>
            <w:left w:w="108" w:type="dxa"/>
            <w:bottom w:w="0" w:type="dxa"/>
            <w:right w:w="108" w:type="dxa"/>
          </w:tblCellMar>
        </w:tblPrEx>
        <w:trPr>
          <w:trHeight w:val="579" w:hRule="atLeast"/>
          <w:jc w:val="center"/>
        </w:trPr>
        <w:tc>
          <w:tcPr>
            <w:tcW w:w="321"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1</w:t>
            </w:r>
          </w:p>
        </w:tc>
        <w:tc>
          <w:tcPr>
            <w:tcW w:w="422"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2"/>
              </w:rPr>
            </w:pP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2"/>
              </w:rPr>
            </w:pP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2"/>
              </w:rPr>
            </w:pP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1</w:t>
            </w:r>
          </w:p>
        </w:tc>
        <w:tc>
          <w:tcPr>
            <w:tcW w:w="471"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2"/>
              </w:rPr>
            </w:pPr>
          </w:p>
        </w:tc>
        <w:tc>
          <w:tcPr>
            <w:tcW w:w="361"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0.87</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2"/>
              </w:rPr>
            </w:pP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2"/>
              </w:rPr>
            </w:pP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2"/>
              </w:rPr>
            </w:pP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0.87</w:t>
            </w: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2"/>
              </w:rPr>
            </w:pPr>
          </w:p>
        </w:tc>
      </w:tr>
    </w:tbl>
    <w:p>
      <w:pPr>
        <w:widowControl/>
        <w:spacing w:before="120"/>
        <w:jc w:val="left"/>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注：本表反映部门本年度财政拨款“三公”经费支出预决算情况。其中，预算数为“三公”经费全年预算数，反映按规定程序调整后的预算数；决算数是包括当年财政拨款和以前年度结转资金安排的实际支出。</w:t>
      </w:r>
    </w:p>
    <w:p>
      <w:pPr>
        <w:autoSpaceDE w:val="0"/>
        <w:autoSpaceDN w:val="0"/>
        <w:adjustRightInd w:val="0"/>
        <w:ind w:left="315" w:leftChars="150"/>
        <w:jc w:val="left"/>
        <w:rPr>
          <w:rFonts w:ascii="Times New Roman" w:hAnsi="Times New Roman" w:eastAsia="宋体" w:cs="Times New Roman"/>
          <w:kern w:val="0"/>
          <w:sz w:val="24"/>
          <w:szCs w:val="24"/>
        </w:rPr>
      </w:pPr>
    </w:p>
    <w:p>
      <w:pPr>
        <w:autoSpaceDE w:val="0"/>
        <w:autoSpaceDN w:val="0"/>
        <w:adjustRightInd w:val="0"/>
        <w:ind w:left="315" w:leftChars="150"/>
        <w:jc w:val="left"/>
        <w:rPr>
          <w:rFonts w:ascii="Times New Roman" w:hAnsi="Times New Roman" w:eastAsia="宋体" w:cs="Times New Roman"/>
          <w:kern w:val="0"/>
          <w:sz w:val="24"/>
          <w:szCs w:val="24"/>
        </w:rPr>
      </w:pPr>
    </w:p>
    <w:p>
      <w:pPr>
        <w:autoSpaceDE w:val="0"/>
        <w:autoSpaceDN w:val="0"/>
        <w:adjustRightInd w:val="0"/>
        <w:ind w:left="315" w:leftChars="150"/>
        <w:jc w:val="left"/>
        <w:rPr>
          <w:rFonts w:ascii="Times New Roman" w:hAnsi="Times New Roman" w:eastAsia="宋体" w:cs="Times New Roman"/>
          <w:kern w:val="0"/>
          <w:sz w:val="24"/>
          <w:szCs w:val="24"/>
        </w:rPr>
      </w:pPr>
    </w:p>
    <w:p>
      <w:pPr>
        <w:autoSpaceDE w:val="0"/>
        <w:autoSpaceDN w:val="0"/>
        <w:adjustRightInd w:val="0"/>
        <w:ind w:left="315" w:leftChars="150"/>
        <w:jc w:val="left"/>
        <w:rPr>
          <w:rFonts w:ascii="Times New Roman" w:hAnsi="Times New Roman" w:eastAsia="宋体" w:cs="Times New Roman"/>
          <w:kern w:val="0"/>
          <w:sz w:val="24"/>
          <w:szCs w:val="24"/>
        </w:rPr>
      </w:pPr>
    </w:p>
    <w:p>
      <w:pPr>
        <w:autoSpaceDE w:val="0"/>
        <w:autoSpaceDN w:val="0"/>
        <w:adjustRightInd w:val="0"/>
        <w:ind w:left="315" w:leftChars="150"/>
        <w:jc w:val="left"/>
        <w:rPr>
          <w:rFonts w:ascii="Times New Roman" w:hAnsi="Times New Roman" w:eastAsia="宋体" w:cs="Times New Roman"/>
          <w:kern w:val="0"/>
          <w:sz w:val="24"/>
          <w:szCs w:val="24"/>
        </w:rPr>
      </w:pPr>
    </w:p>
    <w:p>
      <w:pPr>
        <w:widowControl/>
        <w:rPr>
          <w:rFonts w:ascii="Times New Roman" w:hAnsi="Times New Roman" w:cs="Times New Roman"/>
          <w:sz w:val="72"/>
          <w:szCs w:val="72"/>
        </w:rPr>
        <w:sectPr>
          <w:pgSz w:w="16838" w:h="11906" w:orient="landscape"/>
          <w:pgMar w:top="1134" w:right="1417" w:bottom="1134" w:left="1417" w:header="851" w:footer="992" w:gutter="0"/>
          <w:cols w:space="425" w:num="1"/>
          <w:docGrid w:type="lines" w:linePitch="312" w:charSpace="0"/>
        </w:sectPr>
      </w:pPr>
      <w:r>
        <w:rPr>
          <w:rFonts w:ascii="Times New Roman" w:hAnsi="Times New Roman" w:eastAsia="黑体" w:cs="Times New Roman"/>
          <w:szCs w:val="21"/>
        </w:rPr>
        <w:br w:type="page"/>
      </w:r>
    </w:p>
    <w:p>
      <w:pPr>
        <w:pStyle w:val="14"/>
        <w:rPr>
          <w:rFonts w:ascii="Times New Roman" w:hAnsi="Times New Roman" w:cs="Times New Roman"/>
          <w:sz w:val="72"/>
          <w:szCs w:val="72"/>
        </w:rPr>
      </w:pPr>
    </w:p>
    <w:p>
      <w:pPr>
        <w:pStyle w:val="14"/>
        <w:rPr>
          <w:rFonts w:ascii="Times New Roman" w:hAnsi="Times New Roman" w:cs="Times New Roman"/>
          <w:sz w:val="72"/>
          <w:szCs w:val="72"/>
        </w:rPr>
      </w:pPr>
    </w:p>
    <w:p>
      <w:pPr>
        <w:pStyle w:val="14"/>
        <w:rPr>
          <w:rFonts w:ascii="Times New Roman" w:hAnsi="Times New Roman" w:cs="Times New Roman"/>
          <w:sz w:val="72"/>
          <w:szCs w:val="72"/>
        </w:rPr>
      </w:pPr>
    </w:p>
    <w:p>
      <w:pPr>
        <w:pStyle w:val="14"/>
        <w:jc w:val="center"/>
        <w:rPr>
          <w:rFonts w:ascii="Times New Roman" w:hAnsi="Times New Roman" w:cs="Times New Roman"/>
          <w:sz w:val="72"/>
          <w:szCs w:val="72"/>
        </w:rPr>
      </w:pPr>
    </w:p>
    <w:p>
      <w:pPr>
        <w:pStyle w:val="14"/>
        <w:jc w:val="center"/>
        <w:rPr>
          <w:rFonts w:ascii="Times New Roman" w:hAnsi="Times New Roman" w:eastAsia="方正小标宋_GBK" w:cs="Times New Roman"/>
          <w:sz w:val="72"/>
          <w:szCs w:val="72"/>
        </w:rPr>
      </w:pPr>
    </w:p>
    <w:p>
      <w:pPr>
        <w:pStyle w:val="14"/>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第三部分</w:t>
      </w:r>
    </w:p>
    <w:p>
      <w:pPr>
        <w:pStyle w:val="14"/>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202</w:t>
      </w:r>
      <w:r>
        <w:rPr>
          <w:rFonts w:hint="eastAsia" w:ascii="Times New Roman" w:hAnsi="Times New Roman" w:eastAsia="方正小标宋_GBK" w:cs="Times New Roman"/>
          <w:sz w:val="52"/>
          <w:szCs w:val="52"/>
          <w:lang w:val="en-US" w:eastAsia="zh-CN"/>
        </w:rPr>
        <w:t>5</w:t>
      </w:r>
      <w:r>
        <w:rPr>
          <w:rFonts w:ascii="Times New Roman" w:hAnsi="Times New Roman" w:eastAsia="方正小标宋_GBK" w:cs="Times New Roman"/>
          <w:sz w:val="52"/>
          <w:szCs w:val="52"/>
        </w:rPr>
        <w:t>年度部门决算情况说明</w:t>
      </w:r>
    </w:p>
    <w:p>
      <w:pPr>
        <w:widowControl/>
        <w:jc w:val="left"/>
        <w:rPr>
          <w:rFonts w:ascii="Times New Roman" w:hAnsi="Times New Roman" w:cs="Times New Roman"/>
          <w:sz w:val="32"/>
          <w:szCs w:val="32"/>
        </w:rPr>
      </w:pPr>
      <w:r>
        <w:rPr>
          <w:rFonts w:ascii="Times New Roman" w:hAnsi="Times New Roman" w:eastAsia="方正小标宋_GBK" w:cs="Times New Roman"/>
          <w:sz w:val="70"/>
          <w:szCs w:val="70"/>
        </w:rPr>
        <w:br w:type="page"/>
      </w:r>
    </w:p>
    <w:p>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一、收入支出决算总体情况说明</w:t>
      </w:r>
    </w:p>
    <w:p>
      <w:pPr>
        <w:pStyle w:val="14"/>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年度收、支总计</w:t>
      </w:r>
      <w:r>
        <w:rPr>
          <w:rFonts w:hint="default" w:ascii="Times New Roman" w:hAnsi="Times New Roman" w:eastAsia="仿宋_GB2312" w:cs="Times New Roman"/>
          <w:sz w:val="32"/>
          <w:szCs w:val="32"/>
          <w:lang w:val="en-US"/>
        </w:rPr>
        <w:t>169.21</w:t>
      </w:r>
      <w:r>
        <w:rPr>
          <w:rFonts w:ascii="Times New Roman" w:hAnsi="Times New Roman" w:eastAsia="仿宋_GB2312" w:cs="Times New Roman"/>
          <w:sz w:val="32"/>
          <w:szCs w:val="32"/>
        </w:rPr>
        <w:t>万元。与上年相比，减少</w:t>
      </w:r>
      <w:r>
        <w:rPr>
          <w:rFonts w:hint="default" w:ascii="Times New Roman" w:hAnsi="Times New Roman" w:eastAsia="仿宋_GB2312" w:cs="Times New Roman"/>
          <w:sz w:val="32"/>
          <w:szCs w:val="32"/>
          <w:lang w:val="en-US"/>
        </w:rPr>
        <w:t>46.64</w:t>
      </w:r>
      <w:r>
        <w:rPr>
          <w:rFonts w:ascii="Times New Roman" w:hAnsi="Times New Roman" w:eastAsia="仿宋_GB2312" w:cs="Times New Roman"/>
          <w:sz w:val="32"/>
          <w:szCs w:val="32"/>
        </w:rPr>
        <w:t>万元，降低</w:t>
      </w:r>
      <w:r>
        <w:rPr>
          <w:rFonts w:hint="default" w:ascii="Times New Roman" w:hAnsi="Times New Roman" w:eastAsia="仿宋_GB2312" w:cs="Times New Roman"/>
          <w:sz w:val="32"/>
          <w:szCs w:val="32"/>
          <w:lang w:val="en-US"/>
        </w:rPr>
        <w:t>26.97</w:t>
      </w:r>
      <w:r>
        <w:rPr>
          <w:rFonts w:ascii="Times New Roman" w:hAnsi="Times New Roman" w:eastAsia="仿宋_GB2312" w:cs="Times New Roman"/>
          <w:sz w:val="32"/>
          <w:szCs w:val="32"/>
        </w:rPr>
        <w:t>%，主要是因为</w:t>
      </w:r>
      <w:r>
        <w:rPr>
          <w:rFonts w:hint="eastAsia" w:ascii="Times New Roman" w:hAnsi="Times New Roman" w:eastAsia="仿宋_GB2312" w:cs="Times New Roman"/>
          <w:sz w:val="32"/>
          <w:szCs w:val="32"/>
          <w:lang w:val="en-US" w:eastAsia="zh-CN"/>
        </w:rPr>
        <w:t>项目经费和人员经费都有所减少</w:t>
      </w:r>
      <w:r>
        <w:rPr>
          <w:rFonts w:hint="eastAsia" w:ascii="Times New Roman" w:hAnsi="Times New Roman" w:eastAsia="仿宋_GB2312" w:cs="Times New Roman"/>
          <w:sz w:val="32"/>
          <w:szCs w:val="32"/>
          <w:lang w:eastAsia="zh-CN"/>
        </w:rPr>
        <w:t>。</w:t>
      </w:r>
    </w:p>
    <w:p>
      <w:pPr>
        <w:pStyle w:val="14"/>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eastAsia="zh-CN"/>
        </w:rPr>
        <w:t>贯彻落实党政机关习惯过紧日子有关要求，厉行节约办一切事业，严控一般性支出，进一步优化支出结构，持续压降“三公”经费、办公经费、会议培训等行政开支。同时坚持有保有压，优化支出结构，提高资金使用效率，合理保障基层民、基层运转、重点项目等重点支出，体现在有关支出科目中。</w:t>
      </w:r>
    </w:p>
    <w:p>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二、收入决算情况说明</w:t>
      </w:r>
    </w:p>
    <w:p>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年度收入合计</w:t>
      </w:r>
      <w:r>
        <w:rPr>
          <w:rFonts w:hint="eastAsia" w:ascii="Times New Roman" w:hAnsi="Times New Roman" w:eastAsia="仿宋_GB2312" w:cs="Times New Roman"/>
          <w:sz w:val="32"/>
          <w:szCs w:val="32"/>
          <w:lang w:val="en-US" w:eastAsia="zh-CN"/>
        </w:rPr>
        <w:t>169.21</w:t>
      </w:r>
      <w:r>
        <w:rPr>
          <w:rFonts w:ascii="Times New Roman" w:hAnsi="Times New Roman" w:eastAsia="仿宋_GB2312" w:cs="Times New Roman"/>
          <w:sz w:val="32"/>
          <w:szCs w:val="32"/>
        </w:rPr>
        <w:t>万元，其中：财政拨款收入</w:t>
      </w:r>
      <w:r>
        <w:rPr>
          <w:rFonts w:hint="eastAsia" w:ascii="Times New Roman" w:hAnsi="Times New Roman" w:eastAsia="仿宋_GB2312" w:cs="Times New Roman"/>
          <w:sz w:val="32"/>
          <w:szCs w:val="32"/>
          <w:lang w:val="en-US" w:eastAsia="zh-CN"/>
        </w:rPr>
        <w:t>169.21</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%；上级补助收入</w:t>
      </w:r>
      <w:r>
        <w:rPr>
          <w:rFonts w:hint="eastAsia" w:ascii="Times New Roman" w:hAnsi="Times New Roman" w:eastAsia="仿宋_GB2312" w:cs="Times New Roman"/>
          <w:sz w:val="32"/>
          <w:szCs w:val="32"/>
          <w:lang w:val="en-US" w:eastAsia="zh-CN"/>
        </w:rPr>
        <w:t>169.21</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%；事业收入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%；经营收入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%；附属单位上缴收入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%；其他收入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w:t>
      </w:r>
    </w:p>
    <w:p>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三、支出决算情况说明</w:t>
      </w:r>
    </w:p>
    <w:p>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年度支出合计</w:t>
      </w:r>
      <w:r>
        <w:rPr>
          <w:rFonts w:hint="eastAsia" w:ascii="Times New Roman" w:hAnsi="Times New Roman" w:eastAsia="仿宋_GB2312" w:cs="Times New Roman"/>
          <w:sz w:val="32"/>
          <w:szCs w:val="32"/>
          <w:lang w:val="en-US" w:eastAsia="zh-CN"/>
        </w:rPr>
        <w:t>169.21</w:t>
      </w:r>
      <w:r>
        <w:rPr>
          <w:rFonts w:ascii="Times New Roman" w:hAnsi="Times New Roman" w:eastAsia="仿宋_GB2312" w:cs="Times New Roman"/>
          <w:sz w:val="32"/>
          <w:szCs w:val="32"/>
        </w:rPr>
        <w:t>万元，其中：基本支出</w:t>
      </w:r>
      <w:r>
        <w:rPr>
          <w:rFonts w:hint="eastAsia" w:ascii="Times New Roman" w:hAnsi="Times New Roman" w:eastAsia="仿宋_GB2312" w:cs="Times New Roman"/>
          <w:sz w:val="32"/>
          <w:szCs w:val="32"/>
          <w:lang w:val="en-US" w:eastAsia="zh-CN"/>
        </w:rPr>
        <w:t>164.21</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97.05</w:t>
      </w:r>
      <w:r>
        <w:rPr>
          <w:rFonts w:ascii="Times New Roman" w:hAnsi="Times New Roman" w:eastAsia="仿宋_GB2312" w:cs="Times New Roman"/>
          <w:sz w:val="32"/>
          <w:szCs w:val="32"/>
        </w:rPr>
        <w:t>%；项目支出</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2.95</w:t>
      </w:r>
      <w:r>
        <w:rPr>
          <w:rFonts w:ascii="Times New Roman" w:hAnsi="Times New Roman" w:eastAsia="仿宋_GB2312" w:cs="Times New Roman"/>
          <w:sz w:val="32"/>
          <w:szCs w:val="32"/>
        </w:rPr>
        <w:t>%；上缴上级支出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%；经营支出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%；对附属单位补助支出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w:t>
      </w:r>
    </w:p>
    <w:p>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四、财政拨款收入支出决算总体情况说明</w:t>
      </w:r>
    </w:p>
    <w:p>
      <w:pPr>
        <w:pStyle w:val="14"/>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年度财政拨款收、支总计</w:t>
      </w:r>
      <w:r>
        <w:rPr>
          <w:rFonts w:hint="eastAsia" w:ascii="Times New Roman" w:hAnsi="Times New Roman" w:eastAsia="仿宋_GB2312" w:cs="Times New Roman"/>
          <w:sz w:val="32"/>
          <w:szCs w:val="32"/>
          <w:lang w:val="en-US" w:eastAsia="zh-CN"/>
        </w:rPr>
        <w:t>169.21</w:t>
      </w:r>
      <w:r>
        <w:rPr>
          <w:rFonts w:ascii="Times New Roman" w:hAnsi="Times New Roman" w:eastAsia="仿宋_GB2312" w:cs="Times New Roman"/>
          <w:sz w:val="32"/>
          <w:szCs w:val="32"/>
        </w:rPr>
        <w:t>万元，与上年相比，减少</w:t>
      </w:r>
      <w:r>
        <w:rPr>
          <w:rFonts w:hint="eastAsia" w:ascii="Times New Roman" w:hAnsi="Times New Roman" w:eastAsia="仿宋_GB2312" w:cs="Times New Roman"/>
          <w:sz w:val="32"/>
          <w:szCs w:val="32"/>
          <w:lang w:val="en-US" w:eastAsia="zh-CN"/>
        </w:rPr>
        <w:t>45.64</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26.97</w:t>
      </w:r>
      <w:r>
        <w:rPr>
          <w:rFonts w:ascii="Times New Roman" w:hAnsi="Times New Roman" w:eastAsia="仿宋_GB2312" w:cs="Times New Roman"/>
          <w:sz w:val="32"/>
          <w:szCs w:val="32"/>
        </w:rPr>
        <w:t>%，主要是因为</w:t>
      </w:r>
      <w:r>
        <w:rPr>
          <w:rFonts w:hint="eastAsia" w:ascii="Times New Roman" w:hAnsi="Times New Roman" w:eastAsia="仿宋_GB2312" w:cs="Times New Roman"/>
          <w:sz w:val="32"/>
          <w:szCs w:val="32"/>
          <w:lang w:val="en-US" w:eastAsia="zh-CN"/>
        </w:rPr>
        <w:t>项目经费和人员经费都有所减少</w:t>
      </w:r>
      <w:r>
        <w:rPr>
          <w:rFonts w:hint="eastAsia" w:ascii="Times New Roman" w:hAnsi="Times New Roman" w:eastAsia="仿宋_GB2312" w:cs="Times New Roman"/>
          <w:sz w:val="32"/>
          <w:szCs w:val="32"/>
          <w:lang w:eastAsia="zh-CN"/>
        </w:rPr>
        <w:t>。</w:t>
      </w:r>
    </w:p>
    <w:p>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p>
    <w:p>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五、一般公共预算财政拨款支出决算情况说明</w:t>
      </w:r>
    </w:p>
    <w:p>
      <w:pPr>
        <w:pStyle w:val="14"/>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（一）一般公共预算财政拨款支出决算总体情况</w:t>
      </w:r>
    </w:p>
    <w:p>
      <w:pPr>
        <w:pStyle w:val="14"/>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年度财政拨款支出</w:t>
      </w:r>
      <w:r>
        <w:rPr>
          <w:rFonts w:hint="eastAsia" w:ascii="Times New Roman" w:hAnsi="Times New Roman" w:eastAsia="仿宋_GB2312" w:cs="Times New Roman"/>
          <w:sz w:val="32"/>
          <w:szCs w:val="32"/>
          <w:lang w:val="en-US" w:eastAsia="zh-CN"/>
        </w:rPr>
        <w:t>169.21</w:t>
      </w:r>
      <w:r>
        <w:rPr>
          <w:rFonts w:ascii="Times New Roman" w:hAnsi="Times New Roman" w:eastAsia="仿宋_GB2312" w:cs="Times New Roman"/>
          <w:sz w:val="32"/>
          <w:szCs w:val="32"/>
        </w:rPr>
        <w:t>万元，占本年支出合计的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%，与上年相比，财政拨款支出减少</w:t>
      </w:r>
      <w:r>
        <w:rPr>
          <w:rFonts w:hint="eastAsia" w:ascii="Times New Roman" w:hAnsi="Times New Roman" w:eastAsia="仿宋_GB2312" w:cs="Times New Roman"/>
          <w:sz w:val="32"/>
          <w:szCs w:val="32"/>
          <w:lang w:val="en-US" w:eastAsia="zh-CN"/>
        </w:rPr>
        <w:t>45.64</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26.97</w:t>
      </w:r>
      <w:r>
        <w:rPr>
          <w:rFonts w:ascii="Times New Roman" w:hAnsi="Times New Roman" w:eastAsia="仿宋_GB2312" w:cs="Times New Roman"/>
          <w:sz w:val="32"/>
          <w:szCs w:val="32"/>
        </w:rPr>
        <w:t>%，主要是因为</w:t>
      </w:r>
      <w:r>
        <w:rPr>
          <w:rFonts w:hint="eastAsia" w:ascii="Times New Roman" w:hAnsi="Times New Roman" w:eastAsia="仿宋_GB2312" w:cs="Times New Roman"/>
          <w:sz w:val="32"/>
          <w:szCs w:val="32"/>
          <w:lang w:val="en-US" w:eastAsia="zh-CN"/>
        </w:rPr>
        <w:t>项目经费和人员经费都有所减少</w:t>
      </w:r>
      <w:r>
        <w:rPr>
          <w:rFonts w:hint="eastAsia" w:ascii="Times New Roman" w:hAnsi="Times New Roman" w:eastAsia="仿宋_GB2312" w:cs="Times New Roman"/>
          <w:sz w:val="32"/>
          <w:szCs w:val="32"/>
          <w:lang w:eastAsia="zh-CN"/>
        </w:rPr>
        <w:t>。</w:t>
      </w:r>
    </w:p>
    <w:p>
      <w:pPr>
        <w:pStyle w:val="14"/>
        <w:overflowPunct w:val="0"/>
        <w:autoSpaceDE/>
        <w:autoSpaceDN/>
        <w:spacing w:line="600" w:lineRule="exact"/>
        <w:jc w:val="both"/>
        <w:rPr>
          <w:rFonts w:ascii="Times New Roman" w:hAnsi="Times New Roman" w:eastAsia="楷体_GB2312" w:cs="Times New Roman"/>
          <w:b/>
          <w:sz w:val="32"/>
          <w:szCs w:val="32"/>
        </w:rPr>
      </w:pPr>
      <w:r>
        <w:rPr>
          <w:rFonts w:hint="eastAsia" w:ascii="Times New Roman" w:hAnsi="Times New Roman" w:eastAsia="楷体_GB2312" w:cs="Times New Roman"/>
          <w:b/>
          <w:sz w:val="32"/>
          <w:szCs w:val="32"/>
          <w:lang w:eastAsia="zh-CN"/>
        </w:rPr>
        <w:t>　</w:t>
      </w:r>
      <w:r>
        <w:rPr>
          <w:rFonts w:ascii="Times New Roman" w:hAnsi="Times New Roman" w:eastAsia="楷体_GB2312" w:cs="Times New Roman"/>
          <w:b/>
          <w:sz w:val="32"/>
          <w:szCs w:val="32"/>
        </w:rPr>
        <w:t>（二）一般公共预算财政拨款支出决算结构情况</w:t>
      </w:r>
    </w:p>
    <w:p>
      <w:pPr>
        <w:pStyle w:val="14"/>
        <w:overflowPunct w:val="0"/>
        <w:autoSpaceDE/>
        <w:autoSpaceDN/>
        <w:spacing w:line="600" w:lineRule="exact"/>
        <w:ind w:firstLine="640" w:firstLineChars="200"/>
        <w:jc w:val="both"/>
        <w:rPr>
          <w:rFonts w:hint="default" w:ascii="Times New Roman" w:hAnsi="Times New Roman" w:eastAsia="仿宋_GB2312" w:cs="Times New Roman"/>
          <w:sz w:val="32"/>
          <w:szCs w:val="32"/>
          <w:lang w:val="en-US"/>
        </w:rPr>
      </w:pPr>
      <w:r>
        <w:rPr>
          <w:rFonts w:hint="eastAsia" w:ascii="Times New Roman" w:hAnsi="Times New Roman" w:eastAsia="仿宋_GB2312" w:cs="Times New Roman"/>
          <w:sz w:val="32"/>
          <w:szCs w:val="32"/>
          <w:lang w:eastAsia="zh-CN"/>
        </w:rPr>
        <w:t>2025年</w:t>
      </w:r>
      <w:r>
        <w:rPr>
          <w:rFonts w:ascii="Times New Roman" w:hAnsi="Times New Roman" w:eastAsia="仿宋_GB2312" w:cs="Times New Roman"/>
          <w:sz w:val="32"/>
          <w:szCs w:val="32"/>
        </w:rPr>
        <w:t>度财政拨款支出</w:t>
      </w:r>
      <w:r>
        <w:rPr>
          <w:rFonts w:hint="eastAsia" w:ascii="Times New Roman" w:hAnsi="Times New Roman" w:eastAsia="仿宋_GB2312" w:cs="Times New Roman"/>
          <w:sz w:val="32"/>
          <w:szCs w:val="32"/>
          <w:lang w:val="en-US" w:eastAsia="zh-CN"/>
        </w:rPr>
        <w:t>169.21</w:t>
      </w:r>
      <w:r>
        <w:rPr>
          <w:rFonts w:ascii="Times New Roman" w:hAnsi="Times New Roman" w:eastAsia="仿宋_GB2312" w:cs="Times New Roman"/>
          <w:sz w:val="32"/>
          <w:szCs w:val="32"/>
        </w:rPr>
        <w:t>万元，主要用于以下方面：</w:t>
      </w:r>
      <w:r>
        <w:rPr>
          <w:rFonts w:hint="eastAsia" w:ascii="Times New Roman" w:hAnsi="Times New Roman" w:eastAsia="仿宋_GB2312" w:cs="Times New Roman"/>
          <w:color w:val="000000"/>
          <w:sz w:val="32"/>
          <w:szCs w:val="32"/>
          <w:lang w:eastAsia="zh-CN"/>
        </w:rPr>
        <w:t>社会保障和就业支出</w:t>
      </w:r>
      <w:r>
        <w:rPr>
          <w:rFonts w:hint="eastAsia" w:ascii="Times New Roman" w:hAnsi="Times New Roman" w:eastAsia="仿宋_GB2312" w:cs="Times New Roman"/>
          <w:color w:val="000000"/>
          <w:sz w:val="32"/>
          <w:szCs w:val="32"/>
          <w:lang w:val="en-US" w:eastAsia="zh-CN"/>
        </w:rPr>
        <w:t>11.24</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lang w:eastAsia="zh-CN"/>
        </w:rPr>
        <w:t>占</w:t>
      </w:r>
      <w:r>
        <w:rPr>
          <w:rFonts w:hint="eastAsia" w:ascii="Times New Roman" w:hAnsi="Times New Roman" w:eastAsia="仿宋_GB2312" w:cs="Times New Roman"/>
          <w:sz w:val="32"/>
          <w:szCs w:val="32"/>
          <w:lang w:val="en-US" w:eastAsia="zh-CN"/>
        </w:rPr>
        <w:t>6.64%，</w:t>
      </w:r>
      <w:r>
        <w:rPr>
          <w:rFonts w:hint="eastAsia" w:ascii="Times New Roman" w:hAnsi="Times New Roman" w:eastAsia="仿宋_GB2312" w:cs="Times New Roman"/>
          <w:kern w:val="0"/>
          <w:sz w:val="32"/>
          <w:szCs w:val="32"/>
          <w:lang w:eastAsia="zh-CN"/>
        </w:rPr>
        <w:t>卫生健康支出</w:t>
      </w:r>
      <w:r>
        <w:rPr>
          <w:rFonts w:hint="eastAsia" w:ascii="Times New Roman" w:hAnsi="Times New Roman" w:eastAsia="仿宋_GB2312" w:cs="Times New Roman"/>
          <w:kern w:val="0"/>
          <w:sz w:val="32"/>
          <w:szCs w:val="32"/>
          <w:lang w:val="en-US" w:eastAsia="zh-CN"/>
        </w:rPr>
        <w:t>157.97万，占93.36%。</w:t>
      </w:r>
    </w:p>
    <w:p>
      <w:pPr>
        <w:pStyle w:val="14"/>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（三）一般公共预算财政拨款支出决算具体情况</w:t>
      </w:r>
    </w:p>
    <w:p>
      <w:pPr>
        <w:pStyle w:val="14"/>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年度财政拨款支出年初预算数为</w:t>
      </w:r>
      <w:r>
        <w:rPr>
          <w:rFonts w:hint="eastAsia" w:ascii="Times New Roman" w:hAnsi="Times New Roman" w:eastAsia="仿宋_GB2312" w:cs="Times New Roman"/>
          <w:sz w:val="32"/>
          <w:szCs w:val="32"/>
          <w:lang w:val="en-US" w:eastAsia="zh-CN"/>
        </w:rPr>
        <w:t>162.07</w:t>
      </w:r>
      <w:r>
        <w:rPr>
          <w:rFonts w:ascii="Times New Roman" w:hAnsi="Times New Roman" w:eastAsia="仿宋_GB2312" w:cs="Times New Roman"/>
          <w:sz w:val="32"/>
          <w:szCs w:val="32"/>
        </w:rPr>
        <w:t>万元，支出决算数为</w:t>
      </w:r>
      <w:r>
        <w:rPr>
          <w:rFonts w:hint="eastAsia" w:ascii="Times New Roman" w:hAnsi="Times New Roman" w:eastAsia="仿宋_GB2312" w:cs="Times New Roman"/>
          <w:sz w:val="32"/>
          <w:szCs w:val="32"/>
          <w:lang w:val="en-US" w:eastAsia="zh-CN"/>
        </w:rPr>
        <w:t>169.21</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104.41</w:t>
      </w:r>
      <w:r>
        <w:rPr>
          <w:rFonts w:ascii="Times New Roman" w:hAnsi="Times New Roman" w:eastAsia="仿宋_GB2312" w:cs="Times New Roman"/>
          <w:sz w:val="32"/>
          <w:szCs w:val="32"/>
        </w:rPr>
        <w:t>%，其中：</w:t>
      </w:r>
    </w:p>
    <w:p>
      <w:pPr>
        <w:keepNext w:val="0"/>
        <w:keepLines w:val="0"/>
        <w:widowControl/>
        <w:suppressLineNumbers w:val="0"/>
        <w:jc w:val="left"/>
      </w:pPr>
      <w:r>
        <w:rPr>
          <w:rFonts w:hint="default" w:ascii="Times New Roman" w:hAnsi="Times New Roman" w:eastAsia="宋体" w:cs="Times New Roman"/>
          <w:color w:val="000000"/>
          <w:kern w:val="0"/>
          <w:sz w:val="32"/>
          <w:szCs w:val="32"/>
          <w:lang w:val="en-US" w:eastAsia="zh-CN" w:bidi="ar"/>
        </w:rPr>
        <w:t>1</w:t>
      </w:r>
      <w:r>
        <w:rPr>
          <w:rFonts w:ascii="仿宋" w:hAnsi="仿宋" w:eastAsia="仿宋" w:cs="仿宋"/>
          <w:color w:val="000000"/>
          <w:kern w:val="0"/>
          <w:sz w:val="32"/>
          <w:szCs w:val="32"/>
          <w:lang w:val="en-US" w:eastAsia="zh-CN" w:bidi="ar"/>
        </w:rPr>
        <w:t xml:space="preserve">、社会保障和就业支出。 </w:t>
      </w:r>
    </w:p>
    <w:p>
      <w:pPr>
        <w:keepNext w:val="0"/>
        <w:keepLines w:val="0"/>
        <w:widowControl/>
        <w:suppressLineNumbers w:val="0"/>
        <w:jc w:val="left"/>
      </w:pPr>
      <w:r>
        <w:rPr>
          <w:rFonts w:hint="eastAsia" w:ascii="仿宋" w:hAnsi="仿宋" w:eastAsia="仿宋" w:cs="仿宋"/>
          <w:color w:val="000000"/>
          <w:kern w:val="0"/>
          <w:sz w:val="32"/>
          <w:szCs w:val="32"/>
          <w:lang w:val="en-US" w:eastAsia="zh-CN" w:bidi="ar"/>
        </w:rPr>
        <w:t>年初预算为10.55万元，支出决算为11.24万元，完成年初预算的 106.54</w:t>
      </w:r>
      <w:r>
        <w:rPr>
          <w:rFonts w:hint="default" w:ascii="Times New Roman" w:hAnsi="Times New Roman" w:eastAsia="宋体" w:cs="Times New Roman"/>
          <w:color w:val="000000"/>
          <w:kern w:val="0"/>
          <w:sz w:val="32"/>
          <w:szCs w:val="32"/>
          <w:lang w:val="en-US" w:eastAsia="zh-CN" w:bidi="ar"/>
        </w:rPr>
        <w:t>%</w:t>
      </w:r>
      <w:r>
        <w:rPr>
          <w:rFonts w:hint="eastAsia" w:ascii="仿宋" w:hAnsi="仿宋" w:eastAsia="仿宋" w:cs="仿宋"/>
          <w:color w:val="000000"/>
          <w:kern w:val="0"/>
          <w:sz w:val="32"/>
          <w:szCs w:val="32"/>
          <w:lang w:val="en-US" w:eastAsia="zh-CN" w:bidi="ar"/>
        </w:rPr>
        <w:t xml:space="preserve">，决算数大于年初预算数的主要原因是社保基数提标。 </w:t>
      </w:r>
    </w:p>
    <w:p>
      <w:pPr>
        <w:keepNext w:val="0"/>
        <w:keepLines w:val="0"/>
        <w:widowControl/>
        <w:suppressLineNumbers w:val="0"/>
        <w:jc w:val="left"/>
      </w:pPr>
      <w:r>
        <w:rPr>
          <w:rFonts w:hint="eastAsia" w:ascii="仿宋" w:hAnsi="仿宋" w:eastAsia="仿宋" w:cs="仿宋"/>
          <w:color w:val="000000"/>
          <w:kern w:val="0"/>
          <w:sz w:val="32"/>
          <w:szCs w:val="32"/>
          <w:lang w:val="en-US" w:eastAsia="zh-CN" w:bidi="ar"/>
        </w:rPr>
        <w:t xml:space="preserve">、卫生健康支出。 </w:t>
      </w:r>
    </w:p>
    <w:p>
      <w:pPr>
        <w:keepNext w:val="0"/>
        <w:keepLines w:val="0"/>
        <w:widowControl/>
        <w:suppressLineNumbers w:val="0"/>
        <w:jc w:val="left"/>
      </w:pPr>
      <w:r>
        <w:rPr>
          <w:rFonts w:hint="eastAsia" w:ascii="仿宋" w:hAnsi="仿宋" w:eastAsia="仿宋" w:cs="仿宋"/>
          <w:color w:val="000000"/>
          <w:kern w:val="0"/>
          <w:sz w:val="32"/>
          <w:szCs w:val="32"/>
          <w:lang w:val="en-US" w:eastAsia="zh-CN" w:bidi="ar"/>
        </w:rPr>
        <w:t>年初预算为151.52万元，支出决算为157.97万元，完成年初预算的104.26</w:t>
      </w:r>
      <w:r>
        <w:rPr>
          <w:rFonts w:hint="default" w:ascii="Times New Roman" w:hAnsi="Times New Roman" w:eastAsia="宋体" w:cs="Times New Roman"/>
          <w:color w:val="000000"/>
          <w:kern w:val="0"/>
          <w:sz w:val="32"/>
          <w:szCs w:val="32"/>
          <w:lang w:val="en-US" w:eastAsia="zh-CN" w:bidi="ar"/>
        </w:rPr>
        <w:t>%</w:t>
      </w:r>
      <w:r>
        <w:rPr>
          <w:rFonts w:hint="eastAsia" w:ascii="仿宋" w:hAnsi="仿宋" w:eastAsia="仿宋" w:cs="仿宋"/>
          <w:color w:val="000000"/>
          <w:kern w:val="0"/>
          <w:sz w:val="32"/>
          <w:szCs w:val="32"/>
          <w:lang w:val="en-US" w:eastAsia="zh-CN" w:bidi="ar"/>
        </w:rPr>
        <w:t>，决算数大于年初预算数的主要原因是工资普高，人员经费有所提高。</w:t>
      </w:r>
    </w:p>
    <w:p>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p>
    <w:p>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六、一般公共预算财政拨款基本支出决算情况说明</w:t>
      </w:r>
    </w:p>
    <w:p>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年度一般公共预算财政拨款基本支出</w:t>
      </w:r>
      <w:r>
        <w:rPr>
          <w:rFonts w:hint="eastAsia" w:ascii="Times New Roman" w:hAnsi="Times New Roman" w:eastAsia="仿宋_GB2312" w:cs="Times New Roman"/>
          <w:sz w:val="32"/>
          <w:szCs w:val="32"/>
          <w:lang w:val="en-US" w:eastAsia="zh-CN"/>
        </w:rPr>
        <w:t>169.21</w:t>
      </w:r>
      <w:r>
        <w:rPr>
          <w:rFonts w:ascii="Times New Roman" w:hAnsi="Times New Roman" w:eastAsia="仿宋_GB2312" w:cs="Times New Roman"/>
          <w:sz w:val="32"/>
          <w:szCs w:val="32"/>
        </w:rPr>
        <w:t>万元，其中：</w:t>
      </w:r>
    </w:p>
    <w:p>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b/>
          <w:bCs/>
          <w:sz w:val="32"/>
          <w:szCs w:val="32"/>
        </w:rPr>
        <w:t>人员经费</w:t>
      </w:r>
      <w:r>
        <w:rPr>
          <w:rFonts w:hint="eastAsia" w:ascii="Times New Roman" w:hAnsi="Times New Roman" w:eastAsia="仿宋_GB2312" w:cs="Times New Roman"/>
          <w:b/>
          <w:bCs/>
          <w:sz w:val="32"/>
          <w:szCs w:val="32"/>
          <w:lang w:val="en-US" w:eastAsia="zh-CN"/>
        </w:rPr>
        <w:t>109.73</w:t>
      </w:r>
      <w:r>
        <w:rPr>
          <w:rFonts w:ascii="Times New Roman" w:hAnsi="Times New Roman" w:eastAsia="仿宋_GB2312" w:cs="Times New Roman"/>
          <w:sz w:val="32"/>
          <w:szCs w:val="32"/>
        </w:rPr>
        <w:t>万元，占基本支出的</w:t>
      </w:r>
      <w:r>
        <w:rPr>
          <w:rFonts w:hint="eastAsia" w:ascii="Times New Roman" w:hAnsi="Times New Roman" w:eastAsia="仿宋_GB2312" w:cs="Times New Roman"/>
          <w:sz w:val="32"/>
          <w:szCs w:val="32"/>
          <w:lang w:val="en-US" w:eastAsia="zh-CN"/>
        </w:rPr>
        <w:t>64.85</w:t>
      </w:r>
      <w:r>
        <w:rPr>
          <w:rFonts w:ascii="Times New Roman" w:hAnsi="Times New Roman" w:eastAsia="仿宋_GB2312" w:cs="Times New Roman"/>
          <w:sz w:val="32"/>
          <w:szCs w:val="32"/>
        </w:rPr>
        <w:t>%,主要包括基本工资、津贴补贴、奖金、</w:t>
      </w:r>
      <w:r>
        <w:rPr>
          <w:rFonts w:hint="eastAsia" w:ascii="Times New Roman" w:hAnsi="Times New Roman" w:eastAsia="仿宋_GB2312" w:cs="Times New Roman"/>
          <w:sz w:val="32"/>
          <w:szCs w:val="32"/>
          <w:lang w:eastAsia="zh-CN"/>
        </w:rPr>
        <w:t>养老保险、医疗保险、住房公积金</w:t>
      </w:r>
      <w:r>
        <w:rPr>
          <w:rFonts w:ascii="Times New Roman" w:hAnsi="Times New Roman" w:eastAsia="仿宋_GB2312" w:cs="Times New Roman"/>
          <w:sz w:val="32"/>
          <w:szCs w:val="32"/>
        </w:rPr>
        <w:t>。</w:t>
      </w:r>
    </w:p>
    <w:p>
      <w:pPr>
        <w:keepNext w:val="0"/>
        <w:keepLines w:val="0"/>
        <w:widowControl/>
        <w:suppressLineNumbers w:val="0"/>
        <w:jc w:val="left"/>
      </w:pPr>
      <w:r>
        <w:rPr>
          <w:rFonts w:ascii="Times New Roman" w:hAnsi="Times New Roman" w:eastAsia="仿宋_GB2312" w:cs="Times New Roman"/>
          <w:b/>
          <w:bCs/>
          <w:sz w:val="32"/>
          <w:szCs w:val="32"/>
        </w:rPr>
        <w:t>公用经费</w:t>
      </w:r>
      <w:r>
        <w:rPr>
          <w:rFonts w:hint="eastAsia" w:ascii="Times New Roman" w:hAnsi="Times New Roman" w:eastAsia="仿宋_GB2312" w:cs="Times New Roman"/>
          <w:b/>
          <w:bCs/>
          <w:sz w:val="32"/>
          <w:szCs w:val="32"/>
          <w:lang w:val="en-US" w:eastAsia="zh-CN"/>
        </w:rPr>
        <w:t>54.48</w:t>
      </w:r>
      <w:r>
        <w:rPr>
          <w:rFonts w:ascii="Times New Roman" w:hAnsi="Times New Roman" w:eastAsia="仿宋_GB2312" w:cs="Times New Roman"/>
          <w:sz w:val="32"/>
          <w:szCs w:val="32"/>
        </w:rPr>
        <w:t>万元，占基本支出的</w:t>
      </w:r>
      <w:r>
        <w:rPr>
          <w:rFonts w:hint="eastAsia" w:ascii="Times New Roman" w:hAnsi="Times New Roman" w:eastAsia="仿宋_GB2312" w:cs="Times New Roman"/>
          <w:sz w:val="32"/>
          <w:szCs w:val="32"/>
          <w:lang w:val="en-US" w:eastAsia="zh-CN"/>
        </w:rPr>
        <w:t>35.15</w:t>
      </w:r>
      <w:r>
        <w:rPr>
          <w:rFonts w:ascii="Times New Roman" w:hAnsi="Times New Roman" w:eastAsia="仿宋_GB2312" w:cs="Times New Roman"/>
          <w:sz w:val="32"/>
          <w:szCs w:val="32"/>
        </w:rPr>
        <w:t>%，主要包括办公费、印刷费、</w:t>
      </w:r>
      <w:r>
        <w:rPr>
          <w:rFonts w:hint="eastAsia" w:ascii="Times New Roman" w:hAnsi="Times New Roman" w:eastAsia="仿宋_GB2312" w:cs="Times New Roman"/>
          <w:sz w:val="32"/>
          <w:szCs w:val="32"/>
          <w:lang w:eastAsia="zh-CN"/>
        </w:rPr>
        <w:t>水电费、维修费、公务车运行</w:t>
      </w:r>
      <w:r>
        <w:rPr>
          <w:rFonts w:ascii="Times New Roman" w:hAnsi="Times New Roman" w:eastAsia="仿宋_GB2312" w:cs="Times New Roman"/>
          <w:sz w:val="32"/>
          <w:szCs w:val="32"/>
        </w:rPr>
        <w:t>费、</w:t>
      </w:r>
      <w:r>
        <w:rPr>
          <w:rFonts w:hint="eastAsia" w:ascii="Times New Roman" w:hAnsi="Times New Roman" w:eastAsia="仿宋_GB2312" w:cs="Times New Roman"/>
          <w:sz w:val="32"/>
          <w:szCs w:val="32"/>
          <w:lang w:eastAsia="zh-CN"/>
        </w:rPr>
        <w:t>培训</w:t>
      </w:r>
      <w:r>
        <w:rPr>
          <w:rFonts w:ascii="Times New Roman" w:hAnsi="Times New Roman" w:eastAsia="仿宋_GB2312" w:cs="Times New Roman"/>
          <w:sz w:val="32"/>
          <w:szCs w:val="32"/>
        </w:rPr>
        <w:t>费</w:t>
      </w:r>
      <w:r>
        <w:rPr>
          <w:rFonts w:hint="eastAsia" w:ascii="Times New Roman" w:hAnsi="Times New Roman" w:eastAsia="仿宋_GB2312" w:cs="Times New Roman"/>
          <w:sz w:val="32"/>
          <w:szCs w:val="32"/>
          <w:lang w:eastAsia="zh-CN"/>
        </w:rPr>
        <w:t>、劳务费、工会经费、福利费、其他交通费</w:t>
      </w:r>
      <w:r>
        <w:rPr>
          <w:rFonts w:hint="eastAsia" w:ascii="仿宋" w:hAnsi="仿宋" w:eastAsia="仿宋" w:cs="仿宋"/>
          <w:color w:val="000000"/>
          <w:kern w:val="0"/>
          <w:sz w:val="32"/>
          <w:szCs w:val="32"/>
          <w:lang w:val="en-US" w:eastAsia="zh-CN" w:bidi="ar"/>
        </w:rPr>
        <w:t>。</w:t>
      </w:r>
    </w:p>
    <w:p>
      <w:pPr>
        <w:pStyle w:val="14"/>
        <w:overflowPunct w:val="0"/>
        <w:autoSpaceDE/>
        <w:autoSpaceDN/>
        <w:spacing w:line="600" w:lineRule="exact"/>
        <w:ind w:firstLine="640" w:firstLineChars="200"/>
        <w:jc w:val="both"/>
        <w:rPr>
          <w:rFonts w:ascii="Times New Roman" w:hAnsi="Times New Roman" w:eastAsia="仿宋_GB2312" w:cs="Times New Roman"/>
          <w:b/>
          <w:sz w:val="32"/>
          <w:szCs w:val="32"/>
        </w:rPr>
      </w:pPr>
    </w:p>
    <w:p>
      <w:pPr>
        <w:pStyle w:val="14"/>
        <w:overflowPunct w:val="0"/>
        <w:autoSpaceDE/>
        <w:autoSpaceDN/>
        <w:spacing w:line="600" w:lineRule="exact"/>
        <w:ind w:firstLine="640" w:firstLineChars="200"/>
        <w:jc w:val="both"/>
        <w:rPr>
          <w:rFonts w:ascii="Times New Roman" w:hAnsi="Times New Roman" w:eastAsia="仿宋_GB2312" w:cs="Times New Roman"/>
          <w:b/>
          <w:sz w:val="32"/>
          <w:szCs w:val="32"/>
        </w:rPr>
      </w:pPr>
      <w:r>
        <w:rPr>
          <w:rFonts w:ascii="Times New Roman" w:hAnsi="Times New Roman" w:cs="Times New Roman"/>
          <w:bCs/>
          <w:sz w:val="32"/>
          <w:szCs w:val="32"/>
        </w:rPr>
        <w:t>七、财政拨款“三公”经费支出决算情况说明</w:t>
      </w:r>
      <w:r>
        <w:rPr>
          <w:rFonts w:ascii="Times New Roman" w:hAnsi="Times New Roman" w:eastAsia="楷体_GB2312" w:cs="Times New Roman"/>
          <w:b/>
          <w:bCs/>
          <w:i/>
          <w:color w:val="auto"/>
          <w:sz w:val="32"/>
          <w:szCs w:val="32"/>
        </w:rPr>
        <w:t>（注意：“三公”经费不再是一般公共预算财政拨款口径，而是财政拨款口径）</w:t>
      </w:r>
    </w:p>
    <w:p>
      <w:pPr>
        <w:pStyle w:val="14"/>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（一）“三公”经费财政拨款支出决算总体情况说明</w:t>
      </w:r>
    </w:p>
    <w:p>
      <w:pPr>
        <w:pStyle w:val="14"/>
        <w:overflowPunct w:val="0"/>
        <w:autoSpaceDE/>
        <w:autoSpaceDN/>
        <w:spacing w:line="600" w:lineRule="exact"/>
        <w:ind w:firstLine="640" w:firstLineChars="200"/>
        <w:jc w:val="both"/>
        <w:rPr>
          <w:rFonts w:ascii="Times New Roman" w:hAnsi="Times New Roman" w:eastAsia="仿宋_GB2312" w:cs="Times New Roman"/>
          <w:sz w:val="32"/>
          <w:szCs w:val="32"/>
          <w:highlight w:val="yellow"/>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年度“三公”经费财政拨款支出预算为</w:t>
      </w:r>
      <w:r>
        <w:rPr>
          <w:rFonts w:hint="eastAsia" w:ascii="Times New Roman" w:hAnsi="Times New Roman" w:eastAsia="仿宋_GB2312" w:cs="Times New Roman"/>
          <w:sz w:val="32"/>
          <w:szCs w:val="32"/>
          <w:lang w:val="en-US" w:eastAsia="zh-CN"/>
        </w:rPr>
        <w:t>1</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0.87</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87</w:t>
      </w:r>
      <w:r>
        <w:rPr>
          <w:rFonts w:ascii="Times New Roman" w:hAnsi="Times New Roman" w:eastAsia="仿宋_GB2312" w:cs="Times New Roman"/>
          <w:sz w:val="32"/>
          <w:szCs w:val="32"/>
        </w:rPr>
        <w:t>%；与上年相比减少</w:t>
      </w:r>
      <w:r>
        <w:rPr>
          <w:rFonts w:hint="eastAsia" w:ascii="Times New Roman" w:hAnsi="Times New Roman" w:eastAsia="仿宋_GB2312" w:cs="Times New Roman"/>
          <w:sz w:val="32"/>
          <w:szCs w:val="32"/>
          <w:lang w:val="en-US" w:eastAsia="zh-CN"/>
        </w:rPr>
        <w:t>3.455</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345.5</w:t>
      </w:r>
      <w:r>
        <w:rPr>
          <w:rFonts w:ascii="Times New Roman" w:hAnsi="Times New Roman" w:eastAsia="仿宋_GB2312" w:cs="Times New Roman"/>
          <w:sz w:val="32"/>
          <w:szCs w:val="32"/>
        </w:rPr>
        <w:t>%。决算数小于预算数的主要原因是</w:t>
      </w:r>
      <w:r>
        <w:rPr>
          <w:rFonts w:hint="eastAsia" w:ascii="Times New Roman" w:hAnsi="Times New Roman" w:eastAsia="仿宋_GB2312" w:cs="Times New Roman"/>
          <w:sz w:val="32"/>
          <w:szCs w:val="32"/>
          <w:lang w:eastAsia="zh-CN"/>
        </w:rPr>
        <w:t>压缩“三公”经费的开支</w:t>
      </w:r>
      <w:r>
        <w:rPr>
          <w:rFonts w:ascii="Times New Roman" w:hAnsi="Times New Roman" w:eastAsia="仿宋_GB2312" w:cs="Times New Roman"/>
          <w:sz w:val="32"/>
          <w:szCs w:val="32"/>
        </w:rPr>
        <w:t>。</w:t>
      </w:r>
    </w:p>
    <w:p>
      <w:pPr>
        <w:pStyle w:val="14"/>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（二）“三公”经费财政拨款支出决算具体情况说明</w:t>
      </w:r>
    </w:p>
    <w:p>
      <w:pPr>
        <w:pStyle w:val="14"/>
        <w:overflowPunct w:val="0"/>
        <w:autoSpaceDE/>
        <w:autoSpaceDN/>
        <w:spacing w:line="600" w:lineRule="exact"/>
        <w:ind w:firstLine="640" w:firstLineChars="200"/>
        <w:jc w:val="both"/>
        <w:rPr>
          <w:rFonts w:ascii="Times New Roman" w:hAnsi="Times New Roman" w:eastAsia="楷体" w:cs="Times New Roman"/>
          <w:b/>
          <w:bCs/>
          <w:i/>
          <w:color w:val="auto"/>
          <w:sz w:val="32"/>
          <w:szCs w:val="32"/>
        </w:rPr>
      </w:pPr>
      <w:r>
        <w:rPr>
          <w:rFonts w:ascii="Times New Roman" w:hAnsi="Times New Roman" w:eastAsia="仿宋_GB2312" w:cs="Times New Roman"/>
          <w:sz w:val="32"/>
          <w:szCs w:val="32"/>
        </w:rPr>
        <w:t>1.因公出国（境）费支出预算为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%；与上年相比增加（减少）</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万元，增长（降低）</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w:t>
      </w:r>
    </w:p>
    <w:p>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2.公务用车购置费及运行维护费支出预算为</w:t>
      </w:r>
      <w:r>
        <w:rPr>
          <w:rFonts w:hint="eastAsia" w:ascii="Times New Roman" w:hAnsi="Times New Roman" w:eastAsia="仿宋_GB2312" w:cs="Times New Roman"/>
          <w:sz w:val="32"/>
          <w:szCs w:val="32"/>
          <w:lang w:val="en-US" w:eastAsia="zh-CN"/>
        </w:rPr>
        <w:t>1</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0.87</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87</w:t>
      </w:r>
      <w:r>
        <w:rPr>
          <w:rFonts w:ascii="Times New Roman" w:hAnsi="Times New Roman" w:eastAsia="仿宋_GB2312" w:cs="Times New Roman"/>
          <w:sz w:val="32"/>
          <w:szCs w:val="32"/>
        </w:rPr>
        <w:t>%；与上年相比减少</w:t>
      </w:r>
      <w:r>
        <w:rPr>
          <w:rFonts w:hint="eastAsia" w:ascii="Times New Roman" w:hAnsi="Times New Roman" w:eastAsia="仿宋_GB2312" w:cs="Times New Roman"/>
          <w:sz w:val="32"/>
          <w:szCs w:val="32"/>
          <w:lang w:val="en-US" w:eastAsia="zh-CN"/>
        </w:rPr>
        <w:t>1.462</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146.2</w:t>
      </w:r>
      <w:r>
        <w:rPr>
          <w:rFonts w:ascii="Times New Roman" w:hAnsi="Times New Roman" w:eastAsia="仿宋_GB2312" w:cs="Times New Roman"/>
          <w:sz w:val="32"/>
          <w:szCs w:val="32"/>
        </w:rPr>
        <w:t>%。其中：</w:t>
      </w:r>
    </w:p>
    <w:p>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公务用车购置费支出预算为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w:t>
      </w:r>
      <w:r>
        <w:rPr>
          <w:rFonts w:ascii="Times New Roman" w:hAnsi="Times New Roman" w:eastAsia="仿宋_GB2312" w:cs="Times New Roman"/>
          <w:color w:val="000000" w:themeColor="text1"/>
          <w:sz w:val="32"/>
          <w:szCs w:val="32"/>
          <w14:textFill>
            <w14:solidFill>
              <w14:schemeClr w14:val="tx1"/>
            </w14:solidFill>
          </w14:textFill>
        </w:rPr>
        <w:t>。</w:t>
      </w:r>
    </w:p>
    <w:p>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公务用车运行维护费支出预算为</w:t>
      </w:r>
      <w:r>
        <w:rPr>
          <w:rFonts w:hint="eastAsia" w:ascii="Times New Roman" w:hAnsi="Times New Roman" w:eastAsia="仿宋_GB2312" w:cs="Times New Roman"/>
          <w:sz w:val="32"/>
          <w:szCs w:val="32"/>
          <w:lang w:val="en-US" w:eastAsia="zh-CN"/>
        </w:rPr>
        <w:t>1</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0.87</w:t>
      </w:r>
      <w:r>
        <w:rPr>
          <w:rFonts w:ascii="Times New Roman" w:hAnsi="Times New Roman" w:eastAsia="仿宋_GB2312" w:cs="Times New Roman"/>
          <w:sz w:val="32"/>
          <w:szCs w:val="32"/>
        </w:rPr>
        <w:t>万元，</w:t>
      </w:r>
    </w:p>
    <w:p>
      <w:pPr>
        <w:pStyle w:val="14"/>
        <w:overflowPunct w:val="0"/>
        <w:autoSpaceDE/>
        <w:autoSpaceDN/>
        <w:spacing w:line="600" w:lineRule="exact"/>
        <w:ind w:firstLine="640" w:firstLineChars="200"/>
        <w:jc w:val="both"/>
        <w:rPr>
          <w:rFonts w:ascii="Times New Roman" w:hAnsi="Times New Roman" w:eastAsia="楷体" w:cs="Times New Roman"/>
          <w:b/>
          <w:bCs/>
          <w:i/>
          <w:sz w:val="32"/>
          <w:szCs w:val="32"/>
        </w:rPr>
      </w:pPr>
      <w:r>
        <w:rPr>
          <w:rFonts w:ascii="Times New Roman" w:hAnsi="Times New Roman" w:eastAsia="仿宋_GB2312" w:cs="Times New Roman"/>
          <w:sz w:val="32"/>
          <w:szCs w:val="32"/>
        </w:rPr>
        <w:t>主要是</w:t>
      </w:r>
      <w:r>
        <w:rPr>
          <w:rFonts w:hint="eastAsia" w:ascii="Times New Roman" w:hAnsi="Times New Roman" w:eastAsia="仿宋_GB2312" w:cs="Times New Roman"/>
          <w:sz w:val="32"/>
          <w:szCs w:val="32"/>
          <w:lang w:eastAsia="zh-CN"/>
        </w:rPr>
        <w:t>燃油和维修</w:t>
      </w:r>
      <w:r>
        <w:rPr>
          <w:rFonts w:ascii="Times New Roman" w:hAnsi="Times New Roman" w:eastAsia="仿宋_GB2312" w:cs="Times New Roman"/>
          <w:sz w:val="32"/>
          <w:szCs w:val="32"/>
        </w:rPr>
        <w:t>支出，完成预算的</w:t>
      </w:r>
      <w:r>
        <w:rPr>
          <w:rFonts w:hint="eastAsia" w:ascii="Times New Roman" w:hAnsi="Times New Roman" w:eastAsia="仿宋_GB2312" w:cs="Times New Roman"/>
          <w:sz w:val="32"/>
          <w:szCs w:val="32"/>
          <w:lang w:val="en-US" w:eastAsia="zh-CN"/>
        </w:rPr>
        <w:t>87</w:t>
      </w:r>
      <w:r>
        <w:rPr>
          <w:rFonts w:ascii="Times New Roman" w:hAnsi="Times New Roman" w:eastAsia="仿宋_GB2312" w:cs="Times New Roman"/>
          <w:sz w:val="32"/>
          <w:szCs w:val="32"/>
        </w:rPr>
        <w:t>%；与上年相比减少</w:t>
      </w:r>
      <w:r>
        <w:rPr>
          <w:rFonts w:hint="eastAsia" w:ascii="Times New Roman" w:hAnsi="Times New Roman" w:eastAsia="仿宋_GB2312" w:cs="Times New Roman"/>
          <w:sz w:val="32"/>
          <w:szCs w:val="32"/>
          <w:lang w:val="en-US" w:eastAsia="zh-CN"/>
        </w:rPr>
        <w:t>1.462</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146.2</w:t>
      </w:r>
      <w:r>
        <w:rPr>
          <w:rFonts w:ascii="Times New Roman" w:hAnsi="Times New Roman" w:eastAsia="仿宋_GB2312" w:cs="Times New Roman"/>
          <w:sz w:val="32"/>
          <w:szCs w:val="32"/>
        </w:rPr>
        <w:t>%。决算数小于预算数的主要原因是</w:t>
      </w:r>
      <w:r>
        <w:rPr>
          <w:rFonts w:hint="eastAsia" w:ascii="Times New Roman" w:hAnsi="Times New Roman" w:eastAsia="仿宋_GB2312" w:cs="Times New Roman"/>
          <w:sz w:val="32"/>
          <w:szCs w:val="32"/>
          <w:lang w:eastAsia="zh-CN"/>
        </w:rPr>
        <w:t>压缩“三公”经费开支</w:t>
      </w:r>
      <w:r>
        <w:rPr>
          <w:rFonts w:ascii="Times New Roman" w:hAnsi="Times New Roman" w:eastAsia="仿宋_GB2312" w:cs="Times New Roman"/>
          <w:sz w:val="32"/>
          <w:szCs w:val="32"/>
        </w:rPr>
        <w:t>。截止202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年12月31日，我单位开支财政拨款的公务用车保有量为</w:t>
      </w:r>
      <w:r>
        <w:rPr>
          <w:rFonts w:hint="eastAsia" w:ascii="Times New Roman" w:hAnsi="Times New Roman" w:eastAsia="仿宋_GB2312" w:cs="Times New Roman"/>
          <w:sz w:val="32"/>
          <w:szCs w:val="32"/>
          <w:lang w:val="en-US" w:eastAsia="zh-CN"/>
        </w:rPr>
        <w:t>1</w:t>
      </w:r>
      <w:r>
        <w:rPr>
          <w:rFonts w:ascii="Times New Roman" w:hAnsi="Times New Roman" w:eastAsia="仿宋_GB2312" w:cs="Times New Roman"/>
          <w:sz w:val="32"/>
          <w:szCs w:val="32"/>
        </w:rPr>
        <w:t>辆。</w:t>
      </w:r>
    </w:p>
    <w:p>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3.公务接待费支出预算为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%；与上年相比减少</w:t>
      </w:r>
      <w:r>
        <w:rPr>
          <w:rFonts w:hint="eastAsia" w:ascii="Times New Roman" w:hAnsi="Times New Roman" w:eastAsia="仿宋_GB2312" w:cs="Times New Roman"/>
          <w:sz w:val="32"/>
          <w:szCs w:val="32"/>
          <w:lang w:val="en-US" w:eastAsia="zh-CN"/>
        </w:rPr>
        <w:t>1.993</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199.3</w:t>
      </w:r>
      <w:r>
        <w:rPr>
          <w:rFonts w:ascii="Times New Roman" w:hAnsi="Times New Roman" w:eastAsia="仿宋_GB2312" w:cs="Times New Roman"/>
          <w:sz w:val="32"/>
          <w:szCs w:val="32"/>
        </w:rPr>
        <w:t>%。主要原因是</w:t>
      </w:r>
      <w:r>
        <w:rPr>
          <w:rFonts w:hint="eastAsia" w:ascii="Times New Roman" w:hAnsi="Times New Roman" w:eastAsia="仿宋_GB2312" w:cs="Times New Roman"/>
          <w:sz w:val="32"/>
          <w:szCs w:val="32"/>
          <w:lang w:eastAsia="zh-CN"/>
        </w:rPr>
        <w:t>2025年</w:t>
      </w:r>
      <w:r>
        <w:rPr>
          <w:rFonts w:ascii="Times New Roman" w:hAnsi="Times New Roman" w:eastAsia="仿宋_GB2312" w:cs="Times New Roman"/>
          <w:sz w:val="32"/>
          <w:szCs w:val="32"/>
        </w:rPr>
        <w:t>度</w:t>
      </w:r>
      <w:r>
        <w:rPr>
          <w:rFonts w:hint="eastAsia" w:ascii="Times New Roman" w:hAnsi="Times New Roman" w:eastAsia="仿宋_GB2312" w:cs="Times New Roman"/>
          <w:sz w:val="32"/>
          <w:szCs w:val="32"/>
          <w:lang w:eastAsia="zh-CN"/>
        </w:rPr>
        <w:t>取消了公务接待费</w:t>
      </w:r>
      <w:r>
        <w:rPr>
          <w:rFonts w:ascii="Times New Roman" w:hAnsi="Times New Roman" w:eastAsia="仿宋_GB2312" w:cs="Times New Roman"/>
          <w:sz w:val="32"/>
          <w:szCs w:val="32"/>
        </w:rPr>
        <w:t>。</w:t>
      </w:r>
    </w:p>
    <w:p>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八、政府性基金预算收入支出决算情况</w:t>
      </w:r>
    </w:p>
    <w:p>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年度政府性基金预算财政拨款收入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万元；年初结转和结余</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万元，其中基本支出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万元，项目支出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万元；年末结转和结余</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w:t>
      </w:r>
    </w:p>
    <w:p>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九、关于机关运行经费支出说明</w:t>
      </w:r>
    </w:p>
    <w:p>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本部门202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年度机关运行经费支出</w:t>
      </w:r>
      <w:r>
        <w:rPr>
          <w:rFonts w:hint="eastAsia" w:ascii="Times New Roman" w:hAnsi="Times New Roman" w:eastAsia="仿宋_GB2312" w:cs="Times New Roman"/>
          <w:sz w:val="32"/>
          <w:szCs w:val="32"/>
          <w:lang w:val="en-US" w:eastAsia="zh-CN"/>
        </w:rPr>
        <w:t>54.48</w:t>
      </w:r>
      <w:r>
        <w:rPr>
          <w:rFonts w:ascii="Times New Roman" w:hAnsi="Times New Roman" w:eastAsia="仿宋_GB2312" w:cs="Times New Roman"/>
          <w:sz w:val="32"/>
          <w:szCs w:val="32"/>
        </w:rPr>
        <w:t>万元，比上年决算数</w:t>
      </w:r>
      <w:r>
        <w:rPr>
          <w:rFonts w:hint="eastAsia" w:ascii="Times New Roman" w:hAnsi="Times New Roman" w:eastAsia="仿宋_GB2312" w:cs="Times New Roman"/>
          <w:sz w:val="32"/>
          <w:szCs w:val="32"/>
          <w:lang w:val="en-US" w:eastAsia="zh-CN"/>
        </w:rPr>
        <w:t>62.14万元，</w:t>
      </w:r>
      <w:r>
        <w:rPr>
          <w:rFonts w:ascii="Times New Roman" w:hAnsi="Times New Roman" w:eastAsia="仿宋_GB2312" w:cs="Times New Roman"/>
          <w:sz w:val="32"/>
          <w:szCs w:val="32"/>
        </w:rPr>
        <w:t>减少</w:t>
      </w:r>
      <w:r>
        <w:rPr>
          <w:rFonts w:hint="eastAsia" w:ascii="Times New Roman" w:hAnsi="Times New Roman" w:eastAsia="仿宋_GB2312" w:cs="Times New Roman"/>
          <w:sz w:val="32"/>
          <w:szCs w:val="32"/>
          <w:lang w:val="en-US" w:eastAsia="zh-CN"/>
        </w:rPr>
        <w:t>7.66</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14.06</w:t>
      </w:r>
      <w:r>
        <w:rPr>
          <w:rFonts w:ascii="Times New Roman" w:hAnsi="Times New Roman" w:eastAsia="仿宋_GB2312" w:cs="Times New Roman"/>
          <w:sz w:val="32"/>
          <w:szCs w:val="32"/>
        </w:rPr>
        <w:t>%。主要原因是：</w:t>
      </w:r>
      <w:r>
        <w:rPr>
          <w:rFonts w:hint="eastAsia" w:ascii="Times New Roman" w:hAnsi="Times New Roman" w:eastAsia="仿宋_GB2312" w:cs="Times New Roman"/>
          <w:sz w:val="32"/>
          <w:szCs w:val="32"/>
          <w:lang w:eastAsia="zh-CN"/>
        </w:rPr>
        <w:t>公用项目经费有所减少</w:t>
      </w:r>
      <w:r>
        <w:rPr>
          <w:rFonts w:ascii="Times New Roman" w:hAnsi="Times New Roman" w:eastAsia="仿宋_GB2312" w:cs="Times New Roman"/>
          <w:sz w:val="32"/>
          <w:szCs w:val="32"/>
        </w:rPr>
        <w:t>。</w:t>
      </w:r>
    </w:p>
    <w:p>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十、一般性支出情况说明</w:t>
      </w:r>
    </w:p>
    <w:p>
      <w:pPr>
        <w:keepNext w:val="0"/>
        <w:keepLines w:val="0"/>
        <w:widowControl/>
        <w:suppressLineNumbers w:val="0"/>
        <w:jc w:val="left"/>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年本部门开支培训费</w:t>
      </w:r>
      <w:r>
        <w:rPr>
          <w:rFonts w:hint="eastAsia" w:ascii="Times New Roman" w:hAnsi="Times New Roman" w:eastAsia="仿宋_GB2312" w:cs="Times New Roman"/>
          <w:sz w:val="32"/>
          <w:szCs w:val="32"/>
          <w:lang w:val="en-US" w:eastAsia="zh-CN"/>
        </w:rPr>
        <w:t>0.25</w:t>
      </w:r>
      <w:r>
        <w:rPr>
          <w:rFonts w:ascii="Times New Roman" w:hAnsi="Times New Roman" w:eastAsia="仿宋_GB2312" w:cs="Times New Roman"/>
          <w:sz w:val="32"/>
          <w:szCs w:val="32"/>
        </w:rPr>
        <w:t>万元，</w:t>
      </w:r>
      <w:r>
        <w:rPr>
          <w:rFonts w:ascii="仿宋" w:hAnsi="仿宋" w:eastAsia="仿宋" w:cs="仿宋"/>
          <w:color w:val="000000"/>
          <w:kern w:val="0"/>
          <w:sz w:val="32"/>
          <w:szCs w:val="32"/>
          <w:lang w:val="en-US" w:eastAsia="zh-CN" w:bidi="ar"/>
        </w:rPr>
        <w:t xml:space="preserve">用于开展各种职能业 </w:t>
      </w:r>
    </w:p>
    <w:p>
      <w:pPr>
        <w:keepNext w:val="0"/>
        <w:keepLines w:val="0"/>
        <w:widowControl/>
        <w:suppressLineNumbers w:val="0"/>
        <w:jc w:val="left"/>
      </w:pPr>
      <w:r>
        <w:rPr>
          <w:rFonts w:hint="eastAsia" w:ascii="仿宋" w:hAnsi="仿宋" w:eastAsia="仿宋" w:cs="仿宋"/>
          <w:color w:val="000000"/>
          <w:kern w:val="0"/>
          <w:sz w:val="32"/>
          <w:szCs w:val="32"/>
          <w:lang w:val="en-US" w:eastAsia="zh-CN" w:bidi="ar"/>
        </w:rPr>
        <w:t>务培训，人数80</w:t>
      </w:r>
      <w:r>
        <w:rPr>
          <w:rFonts w:hint="default" w:ascii="Times New Roman" w:hAnsi="Times New Roman" w:eastAsia="宋体" w:cs="Times New Roman"/>
          <w:color w:val="000000"/>
          <w:kern w:val="0"/>
          <w:sz w:val="32"/>
          <w:szCs w:val="32"/>
          <w:lang w:val="en-US" w:eastAsia="zh-CN" w:bidi="ar"/>
        </w:rPr>
        <w:t xml:space="preserve"> </w:t>
      </w:r>
      <w:r>
        <w:rPr>
          <w:rFonts w:hint="eastAsia" w:ascii="仿宋" w:hAnsi="仿宋" w:eastAsia="仿宋" w:cs="仿宋"/>
          <w:color w:val="000000"/>
          <w:kern w:val="0"/>
          <w:sz w:val="32"/>
          <w:szCs w:val="32"/>
          <w:lang w:val="en-US" w:eastAsia="zh-CN" w:bidi="ar"/>
        </w:rPr>
        <w:t>人，内容为各种业务培训和推进开展</w:t>
      </w:r>
    </w:p>
    <w:p>
      <w:pPr>
        <w:pStyle w:val="14"/>
        <w:overflowPunct w:val="0"/>
        <w:autoSpaceDE/>
        <w:autoSpaceDN/>
        <w:spacing w:line="600" w:lineRule="exact"/>
        <w:ind w:firstLine="640" w:firstLineChars="200"/>
        <w:jc w:val="both"/>
        <w:rPr>
          <w:rFonts w:ascii="Times New Roman" w:hAnsi="Times New Roman" w:eastAsia="楷体" w:cs="Times New Roman"/>
          <w:b/>
          <w:bCs/>
          <w:i/>
          <w:color w:val="auto"/>
          <w:sz w:val="32"/>
          <w:szCs w:val="32"/>
        </w:rPr>
      </w:pPr>
      <w:r>
        <w:rPr>
          <w:rFonts w:ascii="Times New Roman" w:hAnsi="Times New Roman" w:eastAsia="仿宋_GB2312" w:cs="Times New Roman"/>
          <w:sz w:val="32"/>
          <w:szCs w:val="32"/>
        </w:rPr>
        <w:t>。</w:t>
      </w:r>
    </w:p>
    <w:p>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十一、关于政府采购支出说明</w:t>
      </w:r>
    </w:p>
    <w:p>
      <w:pPr>
        <w:pStyle w:val="14"/>
        <w:overflowPunct w:val="0"/>
        <w:autoSpaceDE/>
        <w:autoSpaceDN/>
        <w:spacing w:line="600" w:lineRule="exact"/>
        <w:ind w:firstLine="640" w:firstLineChars="200"/>
        <w:jc w:val="both"/>
        <w:rPr>
          <w:rFonts w:ascii="Times New Roman" w:hAnsi="Times New Roman" w:eastAsia="楷体" w:cs="Times New Roman"/>
          <w:b/>
          <w:bCs/>
          <w:i/>
          <w:color w:val="auto"/>
          <w:sz w:val="32"/>
          <w:szCs w:val="32"/>
        </w:rPr>
      </w:pPr>
      <w:r>
        <w:rPr>
          <w:rFonts w:ascii="Times New Roman" w:hAnsi="Times New Roman" w:eastAsia="仿宋_GB2312" w:cs="Times New Roman"/>
          <w:sz w:val="32"/>
          <w:szCs w:val="32"/>
        </w:rPr>
        <w:t>本部门202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年度政府采购支出总额</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万元，其中：政府采购货物支出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万元、政府采购工程支出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万元、政府采购服务支出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万元。授予中小企业合同金额</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万元，占政府采购支出总额的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%，其中：授予小微企业合同金额</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w:t>
      </w:r>
      <w:r>
        <w:rPr>
          <w:rFonts w:ascii="Times New Roman" w:hAnsi="Times New Roman" w:eastAsia="仿宋_GB2312" w:cs="Times New Roman"/>
          <w:color w:val="auto"/>
          <w:sz w:val="32"/>
          <w:szCs w:val="32"/>
        </w:rPr>
        <w:t>占授予中小企业合同金额的</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%。货物采购授予中小企业合同金额占货物支出金额的</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%，工程采购授予中小企业合同金额占工程支出金额的</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%，服务采购授予中小企业合同金额占服务支出金额的</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w:t>
      </w:r>
    </w:p>
    <w:p>
      <w:pPr>
        <w:pStyle w:val="14"/>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十二、关于国有资产占用情况说明</w:t>
      </w:r>
    </w:p>
    <w:p>
      <w:pPr>
        <w:keepNext w:val="0"/>
        <w:keepLines w:val="0"/>
        <w:widowControl/>
        <w:suppressLineNumbers w:val="0"/>
        <w:jc w:val="left"/>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截至202</w:t>
      </w:r>
      <w:r>
        <w:rPr>
          <w:rFonts w:hint="eastAsia" w:ascii="Times New Roman" w:hAnsi="Times New Roman" w:eastAsia="仿宋_GB2312" w:cs="Times New Roman"/>
          <w:color w:val="auto"/>
          <w:sz w:val="32"/>
          <w:szCs w:val="32"/>
          <w:lang w:val="en-US" w:eastAsia="zh-CN"/>
        </w:rPr>
        <w:t>5</w:t>
      </w:r>
      <w:r>
        <w:rPr>
          <w:rFonts w:ascii="Times New Roman" w:hAnsi="Times New Roman" w:eastAsia="仿宋_GB2312" w:cs="Times New Roman"/>
          <w:color w:val="auto"/>
          <w:sz w:val="32"/>
          <w:szCs w:val="32"/>
        </w:rPr>
        <w:t>年12月31日，部门（单位）共有车辆</w:t>
      </w:r>
      <w:r>
        <w:rPr>
          <w:rFonts w:hint="eastAsia" w:ascii="Times New Roman" w:hAnsi="Times New Roman" w:eastAsia="仿宋_GB2312" w:cs="Times New Roman"/>
          <w:color w:val="auto"/>
          <w:sz w:val="32"/>
          <w:szCs w:val="32"/>
          <w:lang w:val="en-US" w:eastAsia="zh-CN"/>
        </w:rPr>
        <w:t>1</w:t>
      </w:r>
      <w:r>
        <w:rPr>
          <w:rFonts w:ascii="Times New Roman" w:hAnsi="Times New Roman" w:eastAsia="仿宋_GB2312" w:cs="Times New Roman"/>
          <w:color w:val="auto"/>
          <w:sz w:val="32"/>
          <w:szCs w:val="32"/>
        </w:rPr>
        <w:t>辆，其中，副部（省）级及以上领导用车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辆、主要负责人用车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辆、机要通信用车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辆、应急保障用车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辆、执法执勤用车</w:t>
      </w:r>
      <w:r>
        <w:rPr>
          <w:rFonts w:hint="eastAsia" w:ascii="Times New Roman" w:hAnsi="Times New Roman" w:eastAsia="仿宋_GB2312" w:cs="Times New Roman"/>
          <w:color w:val="auto"/>
          <w:sz w:val="32"/>
          <w:szCs w:val="32"/>
          <w:lang w:val="en-US" w:eastAsia="zh-CN"/>
        </w:rPr>
        <w:t>1</w:t>
      </w:r>
      <w:r>
        <w:rPr>
          <w:rFonts w:ascii="Times New Roman" w:hAnsi="Times New Roman" w:eastAsia="仿宋_GB2312" w:cs="Times New Roman"/>
          <w:color w:val="auto"/>
          <w:sz w:val="32"/>
          <w:szCs w:val="32"/>
        </w:rPr>
        <w:t>辆、特种专业技术用车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辆、离退休干部服务用车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辆、其他用车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w:t>
      </w:r>
      <w:r>
        <w:rPr>
          <w:rFonts w:hint="eastAsia" w:ascii="Times New Roman" w:hAnsi="Times New Roman" w:eastAsia="仿宋_GB2312" w:cs="Times New Roman"/>
          <w:color w:val="auto"/>
          <w:sz w:val="32"/>
          <w:szCs w:val="32"/>
          <w:lang w:eastAsia="zh-CN"/>
        </w:rPr>
        <w:t>，</w:t>
      </w:r>
      <w:r>
        <w:rPr>
          <w:rFonts w:ascii="仿宋" w:hAnsi="仿宋" w:eastAsia="仿宋" w:cs="仿宋"/>
          <w:color w:val="000000"/>
          <w:kern w:val="0"/>
          <w:sz w:val="32"/>
          <w:szCs w:val="32"/>
          <w:lang w:val="en-US" w:eastAsia="zh-CN" w:bidi="ar"/>
        </w:rPr>
        <w:t>其他用车主要是……；</w:t>
      </w:r>
      <w:r>
        <w:rPr>
          <w:rFonts w:ascii="Times New Roman" w:hAnsi="Times New Roman" w:eastAsia="仿宋_GB2312" w:cs="Times New Roman"/>
          <w:color w:val="auto"/>
          <w:sz w:val="32"/>
          <w:szCs w:val="32"/>
        </w:rPr>
        <w:t>单位价值100万元以上设备（不含车辆）</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台（套）。</w:t>
      </w:r>
    </w:p>
    <w:p>
      <w:pPr>
        <w:pStyle w:val="14"/>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十三、关于</w:t>
      </w:r>
      <w:r>
        <w:rPr>
          <w:rFonts w:ascii="Times New Roman" w:hAnsi="Times New Roman" w:eastAsia="仿宋_GB2312" w:cs="Times New Roman"/>
          <w:color w:val="auto"/>
          <w:sz w:val="32"/>
          <w:szCs w:val="32"/>
        </w:rPr>
        <w:t>202</w:t>
      </w:r>
      <w:r>
        <w:rPr>
          <w:rFonts w:hint="eastAsia" w:ascii="Times New Roman" w:hAnsi="Times New Roman" w:eastAsia="仿宋_GB2312" w:cs="Times New Roman"/>
          <w:color w:val="auto"/>
          <w:sz w:val="32"/>
          <w:szCs w:val="32"/>
          <w:lang w:val="en-US" w:eastAsia="zh-CN"/>
        </w:rPr>
        <w:t>5</w:t>
      </w:r>
      <w:r>
        <w:rPr>
          <w:rFonts w:ascii="Times New Roman" w:hAnsi="Times New Roman" w:cs="Times New Roman"/>
          <w:bCs/>
          <w:color w:val="auto"/>
          <w:sz w:val="32"/>
          <w:szCs w:val="32"/>
        </w:rPr>
        <w:t>年度预算绩效情况的说明</w:t>
      </w:r>
    </w:p>
    <w:p>
      <w:pPr>
        <w:overflowPunct w:val="0"/>
        <w:spacing w:line="600" w:lineRule="exact"/>
        <w:ind w:firstLine="640" w:firstLineChars="200"/>
        <w:rPr>
          <w:rFonts w:ascii="Times New Roman" w:hAnsi="Times New Roman" w:eastAsia="楷体" w:cs="Times New Roman"/>
          <w:b/>
          <w:bCs/>
          <w:sz w:val="32"/>
          <w:szCs w:val="32"/>
        </w:rPr>
      </w:pPr>
      <w:r>
        <w:rPr>
          <w:rFonts w:ascii="Times New Roman" w:hAnsi="Times New Roman" w:eastAsia="楷体_GB2312" w:cs="Times New Roman"/>
          <w:b/>
          <w:bCs/>
          <w:sz w:val="32"/>
          <w:szCs w:val="32"/>
        </w:rPr>
        <w:t>（一）绩效评价工作开展情况。</w:t>
      </w:r>
      <w:r>
        <w:rPr>
          <w:rFonts w:ascii="Times New Roman" w:hAnsi="Times New Roman" w:eastAsia="仿宋_GB2312" w:cs="Times New Roman"/>
          <w:b/>
          <w:bCs/>
          <w:kern w:val="0"/>
          <w:sz w:val="32"/>
          <w:szCs w:val="32"/>
        </w:rPr>
        <w:t>一是绩效自评开展情况。</w:t>
      </w:r>
      <w:r>
        <w:rPr>
          <w:rFonts w:ascii="Times New Roman" w:hAnsi="Times New Roman" w:eastAsia="仿宋_GB2312" w:cs="Times New Roman"/>
          <w:kern w:val="0"/>
          <w:sz w:val="32"/>
          <w:szCs w:val="32"/>
        </w:rPr>
        <w:t>组织对202</w:t>
      </w:r>
      <w:r>
        <w:rPr>
          <w:rFonts w:hint="eastAsia" w:ascii="Times New Roman" w:hAnsi="Times New Roman" w:eastAsia="仿宋_GB2312" w:cs="Times New Roman"/>
          <w:kern w:val="0"/>
          <w:sz w:val="32"/>
          <w:szCs w:val="32"/>
          <w:lang w:val="en-US" w:eastAsia="zh-CN"/>
        </w:rPr>
        <w:t>5</w:t>
      </w:r>
      <w:r>
        <w:rPr>
          <w:rFonts w:ascii="Times New Roman" w:hAnsi="Times New Roman" w:eastAsia="仿宋_GB2312" w:cs="Times New Roman"/>
          <w:kern w:val="0"/>
          <w:sz w:val="32"/>
          <w:szCs w:val="32"/>
        </w:rPr>
        <w:t>年度本部门（单位）整体支出开展绩效自评，涉及项目</w:t>
      </w:r>
      <w:r>
        <w:rPr>
          <w:rFonts w:hint="eastAsia" w:ascii="Times New Roman" w:hAnsi="Times New Roman" w:eastAsia="仿宋_GB2312" w:cs="Times New Roman"/>
          <w:kern w:val="0"/>
          <w:sz w:val="32"/>
          <w:szCs w:val="32"/>
          <w:lang w:val="en-US" w:eastAsia="zh-CN"/>
        </w:rPr>
        <w:t>1</w:t>
      </w:r>
      <w:r>
        <w:rPr>
          <w:rFonts w:ascii="Times New Roman" w:hAnsi="Times New Roman" w:eastAsia="仿宋_GB2312" w:cs="Times New Roman"/>
          <w:kern w:val="0"/>
          <w:sz w:val="32"/>
          <w:szCs w:val="32"/>
        </w:rPr>
        <w:t>个，共涉及资金</w:t>
      </w:r>
      <w:r>
        <w:rPr>
          <w:rFonts w:hint="eastAsia" w:ascii="Times New Roman" w:hAnsi="Times New Roman" w:eastAsia="仿宋_GB2312" w:cs="Times New Roman"/>
          <w:kern w:val="0"/>
          <w:sz w:val="32"/>
          <w:szCs w:val="32"/>
          <w:lang w:val="en-US" w:eastAsia="zh-CN"/>
        </w:rPr>
        <w:t>36</w:t>
      </w:r>
      <w:r>
        <w:rPr>
          <w:rFonts w:ascii="Times New Roman" w:hAnsi="Times New Roman" w:eastAsia="仿宋_GB2312" w:cs="Times New Roman"/>
          <w:kern w:val="0"/>
          <w:sz w:val="32"/>
          <w:szCs w:val="32"/>
        </w:rPr>
        <w:t>万元。其中，一般公共预算项目</w:t>
      </w:r>
      <w:r>
        <w:rPr>
          <w:rFonts w:hint="eastAsia" w:ascii="Times New Roman" w:hAnsi="Times New Roman" w:eastAsia="仿宋_GB2312" w:cs="Times New Roman"/>
          <w:kern w:val="0"/>
          <w:sz w:val="32"/>
          <w:szCs w:val="32"/>
          <w:lang w:val="en-US" w:eastAsia="zh-CN"/>
        </w:rPr>
        <w:t>1</w:t>
      </w:r>
      <w:r>
        <w:rPr>
          <w:rFonts w:ascii="Times New Roman" w:hAnsi="Times New Roman" w:eastAsia="仿宋_GB2312" w:cs="Times New Roman"/>
          <w:kern w:val="0"/>
          <w:sz w:val="32"/>
          <w:szCs w:val="32"/>
        </w:rPr>
        <w:t>个</w:t>
      </w:r>
      <w:r>
        <w:rPr>
          <w:rFonts w:hint="eastAsia" w:ascii="Times New Roman" w:hAnsi="Times New Roman" w:eastAsia="仿宋_GB2312" w:cs="Times New Roman"/>
          <w:kern w:val="0"/>
          <w:sz w:val="32"/>
          <w:szCs w:val="32"/>
          <w:lang w:val="en-US" w:eastAsia="zh-CN"/>
        </w:rPr>
        <w:t>36</w:t>
      </w:r>
      <w:r>
        <w:rPr>
          <w:rFonts w:ascii="Times New Roman" w:hAnsi="Times New Roman" w:eastAsia="仿宋_GB2312" w:cs="Times New Roman"/>
          <w:kern w:val="0"/>
          <w:sz w:val="32"/>
          <w:szCs w:val="32"/>
        </w:rPr>
        <w:t>万元，占一般公共预算支出总额的</w:t>
      </w:r>
      <w:r>
        <w:rPr>
          <w:rFonts w:hint="eastAsia" w:ascii="Times New Roman" w:hAnsi="Times New Roman" w:eastAsia="仿宋_GB2312" w:cs="Times New Roman"/>
          <w:kern w:val="0"/>
          <w:sz w:val="32"/>
          <w:szCs w:val="32"/>
          <w:lang w:val="en-US" w:eastAsia="zh-CN"/>
        </w:rPr>
        <w:t>21.23</w:t>
      </w:r>
      <w:r>
        <w:rPr>
          <w:rFonts w:ascii="Times New Roman" w:hAnsi="Times New Roman" w:eastAsia="仿宋_GB2312" w:cs="Times New Roman"/>
          <w:kern w:val="0"/>
          <w:sz w:val="32"/>
          <w:szCs w:val="32"/>
        </w:rPr>
        <w:t>%；政府性基金预算项目</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 xml:space="preserve"> 个</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 xml:space="preserve"> 万元，占政府性基金预算支出总额的</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%；国有资本经营预算项目</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 xml:space="preserve"> 个</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万元，占国有资本经营预算支出总额的</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%；社会保险基金预算项目</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个</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万元，占社会保险基金预算支出总额的</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w:t>
      </w:r>
      <w:r>
        <w:rPr>
          <w:rFonts w:ascii="Times New Roman" w:hAnsi="Times New Roman" w:eastAsia="仿宋_GB2312" w:cs="Times New Roman"/>
          <w:b/>
          <w:bCs/>
          <w:kern w:val="0"/>
          <w:sz w:val="32"/>
          <w:szCs w:val="32"/>
        </w:rPr>
        <w:t>二是部门评价开展情况。</w:t>
      </w:r>
      <w:r>
        <w:rPr>
          <w:rFonts w:ascii="Times New Roman" w:hAnsi="Times New Roman" w:eastAsia="仿宋_GB2312" w:cs="Times New Roman"/>
          <w:kern w:val="0"/>
          <w:sz w:val="32"/>
          <w:szCs w:val="32"/>
        </w:rPr>
        <w:t>组织对所属单位202</w:t>
      </w:r>
      <w:r>
        <w:rPr>
          <w:rFonts w:hint="eastAsia" w:ascii="Times New Roman" w:hAnsi="Times New Roman" w:eastAsia="仿宋_GB2312" w:cs="Times New Roman"/>
          <w:kern w:val="0"/>
          <w:sz w:val="32"/>
          <w:szCs w:val="32"/>
          <w:lang w:val="en-US" w:eastAsia="zh-CN"/>
        </w:rPr>
        <w:t>5</w:t>
      </w:r>
      <w:r>
        <w:rPr>
          <w:rFonts w:ascii="Times New Roman" w:hAnsi="Times New Roman" w:eastAsia="仿宋_GB2312" w:cs="Times New Roman"/>
          <w:kern w:val="0"/>
          <w:sz w:val="32"/>
          <w:szCs w:val="32"/>
        </w:rPr>
        <w:t>年度“</w:t>
      </w:r>
      <w:r>
        <w:rPr>
          <w:rFonts w:hint="eastAsia" w:ascii="Times New Roman" w:hAnsi="Times New Roman" w:eastAsia="仿宋_GB2312" w:cs="Times New Roman"/>
          <w:kern w:val="0"/>
          <w:sz w:val="32"/>
          <w:szCs w:val="32"/>
          <w:lang w:eastAsia="zh-CN"/>
        </w:rPr>
        <w:t>执法经费</w:t>
      </w:r>
      <w:r>
        <w:rPr>
          <w:rFonts w:ascii="Times New Roman" w:hAnsi="Times New Roman" w:eastAsia="仿宋_GB2312" w:cs="Times New Roman"/>
          <w:kern w:val="0"/>
          <w:sz w:val="32"/>
          <w:szCs w:val="32"/>
        </w:rPr>
        <w:t>”</w:t>
      </w:r>
      <w:r>
        <w:rPr>
          <w:rFonts w:hint="eastAsia" w:ascii="Times New Roman" w:hAnsi="Times New Roman" w:eastAsia="仿宋_GB2312" w:cs="Times New Roman"/>
          <w:kern w:val="0"/>
          <w:sz w:val="32"/>
          <w:szCs w:val="32"/>
          <w:lang w:val="en-US" w:eastAsia="zh-CN"/>
        </w:rPr>
        <w:t>1</w:t>
      </w:r>
      <w:r>
        <w:rPr>
          <w:rFonts w:ascii="Times New Roman" w:hAnsi="Times New Roman" w:eastAsia="仿宋_GB2312" w:cs="Times New Roman"/>
          <w:kern w:val="0"/>
          <w:sz w:val="32"/>
          <w:szCs w:val="32"/>
        </w:rPr>
        <w:t>个项目开展了部门评价，涉及一般公共预算支出</w:t>
      </w:r>
      <w:r>
        <w:rPr>
          <w:rFonts w:hint="eastAsia" w:ascii="Times New Roman" w:hAnsi="Times New Roman" w:eastAsia="仿宋_GB2312" w:cs="Times New Roman"/>
          <w:kern w:val="0"/>
          <w:sz w:val="32"/>
          <w:szCs w:val="32"/>
          <w:lang w:val="en-US" w:eastAsia="zh-CN"/>
        </w:rPr>
        <w:t>36</w:t>
      </w:r>
      <w:r>
        <w:rPr>
          <w:rFonts w:ascii="Times New Roman" w:hAnsi="Times New Roman" w:eastAsia="仿宋_GB2312" w:cs="Times New Roman"/>
          <w:kern w:val="0"/>
          <w:sz w:val="32"/>
          <w:szCs w:val="32"/>
        </w:rPr>
        <w:t>万元，政府性基金预算支出</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万元，国有资本经营预算支出</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万元，社会保险基金预算支出</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万元。</w:t>
      </w:r>
      <w:r>
        <w:rPr>
          <w:rFonts w:ascii="Times New Roman" w:hAnsi="Times New Roman" w:eastAsia="仿宋_GB2312" w:cs="Times New Roman"/>
          <w:b/>
          <w:bCs/>
          <w:kern w:val="0"/>
          <w:sz w:val="32"/>
          <w:szCs w:val="32"/>
        </w:rPr>
        <w:t>三是事前绩效评估开展情况（如有，一级预算部门填写）。</w:t>
      </w:r>
      <w:r>
        <w:rPr>
          <w:rFonts w:ascii="Times New Roman" w:hAnsi="Times New Roman" w:eastAsia="仿宋_GB2312" w:cs="Times New Roman"/>
          <w:kern w:val="0"/>
          <w:sz w:val="32"/>
          <w:szCs w:val="32"/>
        </w:rPr>
        <w:t>组织对202</w:t>
      </w:r>
      <w:r>
        <w:rPr>
          <w:rFonts w:hint="eastAsia" w:ascii="Times New Roman" w:hAnsi="Times New Roman" w:eastAsia="仿宋_GB2312" w:cs="Times New Roman"/>
          <w:kern w:val="0"/>
          <w:sz w:val="32"/>
          <w:szCs w:val="32"/>
          <w:lang w:val="en-US" w:eastAsia="zh-CN"/>
        </w:rPr>
        <w:t>5</w:t>
      </w:r>
      <w:r>
        <w:rPr>
          <w:rFonts w:ascii="Times New Roman" w:hAnsi="Times New Roman" w:eastAsia="仿宋_GB2312" w:cs="Times New Roman"/>
          <w:kern w:val="0"/>
          <w:sz w:val="32"/>
          <w:szCs w:val="32"/>
        </w:rPr>
        <w:t>年度</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个新增重大政策和</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个重大项目开展事前绩效评估，共涉及资金</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万元。</w:t>
      </w:r>
    </w:p>
    <w:p>
      <w:pPr>
        <w:overflowPunct w:val="0"/>
        <w:spacing w:line="600" w:lineRule="exact"/>
        <w:ind w:firstLine="640" w:firstLineChars="200"/>
        <w:rPr>
          <w:rFonts w:ascii="Times New Roman" w:hAnsi="Times New Roman" w:eastAsia="仿宋_GB2312" w:cs="Times New Roman"/>
          <w:bCs/>
          <w:sz w:val="32"/>
          <w:szCs w:val="32"/>
        </w:rPr>
      </w:pPr>
      <w:r>
        <w:rPr>
          <w:rFonts w:ascii="Times New Roman" w:hAnsi="Times New Roman" w:eastAsia="楷体_GB2312" w:cs="Times New Roman"/>
          <w:b/>
          <w:bCs/>
          <w:sz w:val="32"/>
          <w:szCs w:val="32"/>
        </w:rPr>
        <w:t>（二）绩效评价结果。</w:t>
      </w:r>
      <w:r>
        <w:rPr>
          <w:rFonts w:ascii="Times New Roman" w:hAnsi="Times New Roman" w:eastAsia="仿宋_GB2312" w:cs="Times New Roman"/>
          <w:b/>
          <w:bCs/>
          <w:kern w:val="0"/>
          <w:sz w:val="32"/>
          <w:szCs w:val="32"/>
        </w:rPr>
        <w:t>一是绩效自评结果。</w:t>
      </w:r>
      <w:r>
        <w:rPr>
          <w:rFonts w:ascii="Times New Roman" w:hAnsi="Times New Roman" w:eastAsia="仿宋_GB2312" w:cs="Times New Roman"/>
          <w:kern w:val="0"/>
          <w:sz w:val="32"/>
          <w:szCs w:val="32"/>
        </w:rPr>
        <w:t>202</w:t>
      </w:r>
      <w:r>
        <w:rPr>
          <w:rFonts w:hint="eastAsia" w:ascii="Times New Roman" w:hAnsi="Times New Roman" w:eastAsia="仿宋_GB2312" w:cs="Times New Roman"/>
          <w:kern w:val="0"/>
          <w:sz w:val="32"/>
          <w:szCs w:val="32"/>
          <w:lang w:val="en-US" w:eastAsia="zh-CN"/>
        </w:rPr>
        <w:t>5</w:t>
      </w:r>
      <w:r>
        <w:rPr>
          <w:rFonts w:ascii="Times New Roman" w:hAnsi="Times New Roman" w:eastAsia="仿宋_GB2312" w:cs="Times New Roman"/>
          <w:kern w:val="0"/>
          <w:sz w:val="32"/>
          <w:szCs w:val="32"/>
        </w:rPr>
        <w:t>年度本部门（单位）整体支出</w:t>
      </w:r>
      <w:r>
        <w:rPr>
          <w:rFonts w:ascii="Times New Roman" w:hAnsi="Times New Roman" w:eastAsia="仿宋_GB2312" w:cs="Times New Roman"/>
          <w:sz w:val="32"/>
          <w:szCs w:val="32"/>
        </w:rPr>
        <w:t>全年预算数</w:t>
      </w:r>
      <w:r>
        <w:rPr>
          <w:rFonts w:hint="eastAsia" w:ascii="Times New Roman" w:hAnsi="Times New Roman" w:eastAsia="仿宋_GB2312" w:cs="Times New Roman"/>
          <w:sz w:val="32"/>
          <w:szCs w:val="32"/>
          <w:lang w:val="en-US" w:eastAsia="zh-CN"/>
        </w:rPr>
        <w:t>162.07</w:t>
      </w:r>
      <w:r>
        <w:rPr>
          <w:rFonts w:ascii="Times New Roman" w:hAnsi="Times New Roman" w:eastAsia="仿宋_GB2312" w:cs="Times New Roman"/>
          <w:sz w:val="32"/>
          <w:szCs w:val="32"/>
        </w:rPr>
        <w:t>万元，执行数</w:t>
      </w:r>
      <w:r>
        <w:rPr>
          <w:rFonts w:hint="eastAsia" w:ascii="Times New Roman" w:hAnsi="Times New Roman" w:eastAsia="仿宋_GB2312" w:cs="Times New Roman"/>
          <w:sz w:val="32"/>
          <w:szCs w:val="32"/>
          <w:lang w:val="en-US" w:eastAsia="zh-CN"/>
        </w:rPr>
        <w:t>169.21</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104.41</w:t>
      </w:r>
      <w:r>
        <w:rPr>
          <w:rFonts w:ascii="Times New Roman" w:hAnsi="Times New Roman" w:eastAsia="仿宋_GB2312" w:cs="Times New Roman"/>
          <w:sz w:val="32"/>
          <w:szCs w:val="32"/>
        </w:rPr>
        <w:t>%</w:t>
      </w:r>
      <w:r>
        <w:rPr>
          <w:rFonts w:ascii="Times New Roman" w:hAnsi="Times New Roman" w:eastAsia="仿宋_GB2312" w:cs="Times New Roman"/>
          <w:kern w:val="0"/>
          <w:sz w:val="32"/>
          <w:szCs w:val="32"/>
        </w:rPr>
        <w:t>，绩效自评得分</w:t>
      </w:r>
      <w:r>
        <w:rPr>
          <w:rFonts w:hint="eastAsia" w:ascii="Times New Roman" w:hAnsi="Times New Roman" w:eastAsia="仿宋_GB2312" w:cs="Times New Roman"/>
          <w:kern w:val="0"/>
          <w:sz w:val="32"/>
          <w:szCs w:val="32"/>
          <w:lang w:val="en-US" w:eastAsia="zh-CN"/>
        </w:rPr>
        <w:t>95.92</w:t>
      </w:r>
      <w:r>
        <w:rPr>
          <w:rFonts w:ascii="Times New Roman" w:hAnsi="Times New Roman" w:eastAsia="仿宋_GB2312" w:cs="Times New Roman"/>
          <w:sz w:val="32"/>
          <w:szCs w:val="32"/>
        </w:rPr>
        <w:t>分</w:t>
      </w:r>
      <w:r>
        <w:rPr>
          <w:rFonts w:ascii="Times New Roman" w:hAnsi="Times New Roman" w:eastAsia="仿宋_GB2312" w:cs="Times New Roman"/>
          <w:kern w:val="0"/>
          <w:sz w:val="32"/>
          <w:szCs w:val="32"/>
        </w:rPr>
        <w:t>，评价等级为</w:t>
      </w:r>
      <w:r>
        <w:rPr>
          <w:rFonts w:hint="eastAsia" w:ascii="Times New Roman" w:hAnsi="Times New Roman" w:eastAsia="仿宋_GB2312" w:cs="Times New Roman"/>
          <w:kern w:val="0"/>
          <w:sz w:val="32"/>
          <w:szCs w:val="32"/>
          <w:lang w:eastAsia="zh-CN"/>
        </w:rPr>
        <w:t>良好</w:t>
      </w:r>
      <w:r>
        <w:rPr>
          <w:rFonts w:ascii="Times New Roman" w:hAnsi="Times New Roman" w:eastAsia="仿宋_GB2312" w:cs="Times New Roman"/>
          <w:kern w:val="0"/>
          <w:sz w:val="32"/>
          <w:szCs w:val="32"/>
        </w:rPr>
        <w:t>。</w:t>
      </w:r>
      <w:r>
        <w:rPr>
          <w:rFonts w:ascii="Times New Roman" w:hAnsi="Times New Roman" w:eastAsia="仿宋_GB2312" w:cs="Times New Roman"/>
          <w:b/>
          <w:bCs/>
          <w:kern w:val="0"/>
          <w:sz w:val="32"/>
          <w:szCs w:val="32"/>
        </w:rPr>
        <w:t>二是部门评价结果。</w:t>
      </w:r>
      <w:r>
        <w:rPr>
          <w:rFonts w:hint="eastAsia" w:ascii="Times New Roman" w:hAnsi="Times New Roman" w:eastAsia="仿宋_GB2312" w:cs="Times New Roman"/>
          <w:b/>
          <w:bCs/>
          <w:kern w:val="0"/>
          <w:sz w:val="32"/>
          <w:szCs w:val="32"/>
          <w:lang w:eastAsia="zh-CN"/>
        </w:rPr>
        <w:t>执法经费</w:t>
      </w:r>
      <w:r>
        <w:rPr>
          <w:rFonts w:ascii="Times New Roman" w:hAnsi="Times New Roman" w:eastAsia="仿宋_GB2312" w:cs="Times New Roman"/>
          <w:sz w:val="32"/>
          <w:szCs w:val="32"/>
        </w:rPr>
        <w:t>项目全年预算数</w:t>
      </w:r>
      <w:r>
        <w:rPr>
          <w:rFonts w:hint="eastAsia" w:ascii="Times New Roman" w:hAnsi="Times New Roman" w:eastAsia="仿宋_GB2312" w:cs="Times New Roman"/>
          <w:sz w:val="32"/>
          <w:szCs w:val="32"/>
          <w:lang w:val="en-US" w:eastAsia="zh-CN"/>
        </w:rPr>
        <w:t>36</w:t>
      </w:r>
      <w:r>
        <w:rPr>
          <w:rFonts w:ascii="Times New Roman" w:hAnsi="Times New Roman" w:eastAsia="仿宋_GB2312" w:cs="Times New Roman"/>
          <w:sz w:val="32"/>
          <w:szCs w:val="32"/>
        </w:rPr>
        <w:t>万元，执行数</w:t>
      </w:r>
      <w:r>
        <w:rPr>
          <w:rFonts w:hint="eastAsia" w:ascii="Times New Roman" w:hAnsi="Times New Roman" w:eastAsia="仿宋_GB2312" w:cs="Times New Roman"/>
          <w:sz w:val="32"/>
          <w:szCs w:val="32"/>
          <w:lang w:val="en-US" w:eastAsia="zh-CN"/>
        </w:rPr>
        <w:t>36</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w:t>
      </w:r>
      <w:r>
        <w:rPr>
          <w:rFonts w:ascii="Times New Roman" w:hAnsi="Times New Roman" w:eastAsia="仿宋_GB2312" w:cs="Times New Roman"/>
          <w:kern w:val="0"/>
          <w:sz w:val="32"/>
          <w:szCs w:val="32"/>
        </w:rPr>
        <w:t>，</w:t>
      </w:r>
      <w:r>
        <w:rPr>
          <w:rFonts w:ascii="Times New Roman" w:hAnsi="Times New Roman" w:eastAsia="仿宋_GB2312" w:cs="Times New Roman"/>
          <w:sz w:val="32"/>
          <w:szCs w:val="32"/>
        </w:rPr>
        <w:t>部门评价得分</w:t>
      </w:r>
      <w:r>
        <w:rPr>
          <w:rFonts w:hint="eastAsia" w:ascii="Times New Roman" w:hAnsi="Times New Roman" w:eastAsia="仿宋_GB2312" w:cs="Times New Roman"/>
          <w:sz w:val="32"/>
          <w:szCs w:val="32"/>
          <w:lang w:val="en-US" w:eastAsia="zh-CN"/>
        </w:rPr>
        <w:t>95</w:t>
      </w:r>
      <w:r>
        <w:rPr>
          <w:rFonts w:ascii="Times New Roman" w:hAnsi="Times New Roman" w:eastAsia="仿宋_GB2312" w:cs="Times New Roman"/>
          <w:sz w:val="32"/>
          <w:szCs w:val="32"/>
        </w:rPr>
        <w:t>分，评价等级为“</w:t>
      </w:r>
      <w:r>
        <w:rPr>
          <w:rFonts w:hint="eastAsia" w:ascii="Times New Roman" w:hAnsi="Times New Roman" w:eastAsia="仿宋_GB2312" w:cs="Times New Roman"/>
          <w:sz w:val="32"/>
          <w:szCs w:val="32"/>
          <w:lang w:eastAsia="zh-CN"/>
        </w:rPr>
        <w:t>良好</w:t>
      </w:r>
      <w:r>
        <w:rPr>
          <w:rFonts w:ascii="Times New Roman" w:hAnsi="Times New Roman" w:eastAsia="仿宋_GB2312" w:cs="Times New Roman"/>
          <w:sz w:val="32"/>
          <w:szCs w:val="32"/>
        </w:rPr>
        <w:t>”</w:t>
      </w:r>
      <w:r>
        <w:rPr>
          <w:rFonts w:ascii="Times New Roman" w:hAnsi="Times New Roman" w:eastAsia="仿宋_GB2312" w:cs="Times New Roman"/>
          <w:kern w:val="0"/>
          <w:sz w:val="32"/>
          <w:szCs w:val="32"/>
        </w:rPr>
        <w:t>。</w:t>
      </w:r>
      <w:r>
        <w:rPr>
          <w:rFonts w:ascii="Times New Roman" w:hAnsi="Times New Roman" w:eastAsia="仿宋_GB2312" w:cs="Times New Roman"/>
          <w:b/>
          <w:bCs/>
          <w:kern w:val="0"/>
          <w:sz w:val="32"/>
          <w:szCs w:val="32"/>
        </w:rPr>
        <w:t>三是事前绩效评估结果。</w:t>
      </w:r>
      <w:r>
        <w:rPr>
          <w:rFonts w:ascii="Times New Roman" w:hAnsi="Times New Roman" w:eastAsia="仿宋_GB2312" w:cs="Times New Roman"/>
          <w:kern w:val="0"/>
          <w:sz w:val="32"/>
          <w:szCs w:val="32"/>
        </w:rPr>
        <w:t>202</w:t>
      </w:r>
      <w:r>
        <w:rPr>
          <w:rFonts w:hint="eastAsia" w:ascii="Times New Roman" w:hAnsi="Times New Roman" w:eastAsia="仿宋_GB2312" w:cs="Times New Roman"/>
          <w:kern w:val="0"/>
          <w:sz w:val="32"/>
          <w:szCs w:val="32"/>
          <w:lang w:val="en-US" w:eastAsia="zh-CN"/>
        </w:rPr>
        <w:t>5</w:t>
      </w:r>
      <w:r>
        <w:rPr>
          <w:rFonts w:ascii="Times New Roman" w:hAnsi="Times New Roman" w:eastAsia="仿宋_GB2312" w:cs="Times New Roman"/>
          <w:kern w:val="0"/>
          <w:sz w:val="32"/>
          <w:szCs w:val="32"/>
        </w:rPr>
        <w:t>年度</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个重大项目事前绩效评估，其中，</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个项目评估通过，涉及资金</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万元，</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个项目评估不通过，涉及资金</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万元。</w:t>
      </w:r>
    </w:p>
    <w:p>
      <w:pPr>
        <w:pStyle w:val="14"/>
        <w:overflowPunct w:val="0"/>
        <w:autoSpaceDE/>
        <w:autoSpaceDN/>
        <w:spacing w:line="600" w:lineRule="exact"/>
        <w:ind w:firstLine="640" w:firstLineChars="200"/>
        <w:jc w:val="both"/>
        <w:rPr>
          <w:rFonts w:ascii="Times New Roman" w:hAnsi="Times New Roman" w:eastAsia="仿宋_GB2312" w:cs="Times New Roman"/>
          <w:color w:val="auto"/>
          <w:sz w:val="72"/>
          <w:szCs w:val="72"/>
        </w:rPr>
      </w:pPr>
      <w:r>
        <w:rPr>
          <w:rFonts w:ascii="Times New Roman" w:hAnsi="Times New Roman" w:eastAsia="楷体_GB2312" w:cs="Times New Roman"/>
          <w:b/>
          <w:bCs/>
          <w:color w:val="auto"/>
          <w:kern w:val="2"/>
          <w:sz w:val="32"/>
          <w:szCs w:val="32"/>
        </w:rPr>
        <w:t>（三）评价结果应用情况。</w:t>
      </w:r>
      <w:r>
        <w:rPr>
          <w:rFonts w:ascii="Times New Roman" w:hAnsi="Times New Roman" w:eastAsia="仿宋_GB2312" w:cs="Times New Roman"/>
          <w:color w:val="auto"/>
          <w:sz w:val="32"/>
          <w:szCs w:val="32"/>
        </w:rPr>
        <w:t>请根据202</w:t>
      </w:r>
      <w:r>
        <w:rPr>
          <w:rFonts w:hint="eastAsia" w:ascii="Times New Roman" w:hAnsi="Times New Roman" w:eastAsia="仿宋_GB2312" w:cs="Times New Roman"/>
          <w:color w:val="auto"/>
          <w:sz w:val="32"/>
          <w:szCs w:val="32"/>
          <w:lang w:val="en-US" w:eastAsia="zh-CN"/>
        </w:rPr>
        <w:t>5</w:t>
      </w:r>
      <w:r>
        <w:rPr>
          <w:rFonts w:ascii="Times New Roman" w:hAnsi="Times New Roman" w:eastAsia="仿宋_GB2312" w:cs="Times New Roman"/>
          <w:color w:val="auto"/>
          <w:sz w:val="32"/>
          <w:szCs w:val="32"/>
        </w:rPr>
        <w:t>年度绩效自评结果、部门评价结果、财政评价结果对本部门2025年度预算安排，支出结构调整，资金管理，制度建设等方面结果运用进行简要说明。</w:t>
      </w:r>
    </w:p>
    <w:p>
      <w:pPr>
        <w:pStyle w:val="14"/>
        <w:jc w:val="both"/>
        <w:rPr>
          <w:rFonts w:ascii="Times New Roman" w:hAnsi="Times New Roman" w:cs="Times New Roman"/>
          <w:sz w:val="72"/>
          <w:szCs w:val="72"/>
        </w:rPr>
      </w:pPr>
    </w:p>
    <w:p>
      <w:pPr>
        <w:pStyle w:val="14"/>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第四部分    名词解释</w:t>
      </w:r>
    </w:p>
    <w:p>
      <w:pPr>
        <w:widowControl/>
        <w:jc w:val="left"/>
        <w:rPr>
          <w:rFonts w:ascii="Times New Roman" w:hAnsi="Times New Roman" w:cs="Times New Roman"/>
          <w:color w:val="000000"/>
          <w:kern w:val="0"/>
          <w:sz w:val="32"/>
          <w:szCs w:val="32"/>
        </w:rPr>
      </w:pPr>
    </w:p>
    <w:p>
      <w:pPr>
        <w:widowControl/>
        <w:ind w:firstLine="1440" w:firstLineChars="200"/>
        <w:jc w:val="left"/>
        <w:rPr>
          <w:rFonts w:ascii="Times New Roman" w:hAnsi="Times New Roman" w:cs="Times New Roman"/>
          <w:sz w:val="72"/>
          <w:szCs w:val="72"/>
        </w:rPr>
      </w:pPr>
    </w:p>
    <w:p>
      <w:pPr>
        <w:pStyle w:val="14"/>
        <w:jc w:val="center"/>
        <w:rPr>
          <w:rFonts w:ascii="Times New Roman" w:hAnsi="Times New Roman" w:cs="Times New Roman"/>
          <w:sz w:val="72"/>
          <w:szCs w:val="72"/>
        </w:rPr>
      </w:pPr>
    </w:p>
    <w:p>
      <w:pPr>
        <w:pStyle w:val="14"/>
        <w:jc w:val="center"/>
        <w:rPr>
          <w:rFonts w:ascii="Times New Roman" w:hAnsi="Times New Roman" w:cs="Times New Roman"/>
          <w:sz w:val="72"/>
          <w:szCs w:val="72"/>
        </w:rPr>
      </w:pPr>
    </w:p>
    <w:p>
      <w:pPr>
        <w:pStyle w:val="14"/>
        <w:jc w:val="center"/>
        <w:rPr>
          <w:rFonts w:ascii="Times New Roman" w:hAnsi="Times New Roman" w:cs="Times New Roman"/>
          <w:sz w:val="72"/>
          <w:szCs w:val="72"/>
        </w:rPr>
      </w:pPr>
    </w:p>
    <w:p>
      <w:pPr>
        <w:pStyle w:val="14"/>
        <w:jc w:val="center"/>
        <w:rPr>
          <w:rFonts w:ascii="Times New Roman" w:hAnsi="Times New Roman" w:cs="Times New Roman"/>
          <w:sz w:val="72"/>
          <w:szCs w:val="72"/>
        </w:rPr>
      </w:pPr>
    </w:p>
    <w:p>
      <w:pPr>
        <w:pStyle w:val="14"/>
        <w:jc w:val="center"/>
        <w:rPr>
          <w:rFonts w:ascii="Times New Roman" w:hAnsi="Times New Roman" w:cs="Times New Roman"/>
          <w:sz w:val="72"/>
          <w:szCs w:val="72"/>
        </w:rPr>
      </w:pPr>
    </w:p>
    <w:p>
      <w:pPr>
        <w:pStyle w:val="14"/>
        <w:jc w:val="center"/>
        <w:rPr>
          <w:rFonts w:ascii="Times New Roman" w:hAnsi="Times New Roman" w:cs="Times New Roman"/>
          <w:sz w:val="72"/>
          <w:szCs w:val="72"/>
        </w:rPr>
      </w:pPr>
    </w:p>
    <w:p>
      <w:pPr>
        <w:pStyle w:val="14"/>
        <w:jc w:val="both"/>
        <w:rPr>
          <w:rFonts w:ascii="Times New Roman" w:hAnsi="Times New Roman" w:cs="Times New Roman"/>
          <w:sz w:val="72"/>
          <w:szCs w:val="72"/>
        </w:rPr>
      </w:pPr>
    </w:p>
    <w:p>
      <w:pPr>
        <w:pStyle w:val="14"/>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第五部分   附 件</w:t>
      </w:r>
    </w:p>
    <w:p>
      <w:pPr>
        <w:rPr>
          <w:rFonts w:ascii="Times New Roman" w:hAnsi="Times New Roman" w:cs="Times New Roman"/>
          <w:sz w:val="72"/>
          <w:szCs w:val="72"/>
        </w:rPr>
      </w:pPr>
    </w:p>
    <w:p>
      <w:pPr>
        <w:pStyle w:val="14"/>
        <w:spacing w:line="60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b/>
          <w:bCs/>
          <w:sz w:val="32"/>
          <w:szCs w:val="32"/>
        </w:rPr>
        <w:t>一、</w:t>
      </w: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年度部门(单位)整体支出绩效自评报告。</w:t>
      </w:r>
    </w:p>
    <w:p>
      <w:pPr>
        <w:keepNext w:val="0"/>
        <w:keepLines w:val="0"/>
        <w:pageBreakBefore w:val="0"/>
        <w:widowControl w:val="0"/>
        <w:kinsoku/>
        <w:wordWrap/>
        <w:overflowPunct/>
        <w:topLinePunct w:val="0"/>
        <w:autoSpaceDE/>
        <w:autoSpaceDN/>
        <w:bidi w:val="0"/>
        <w:adjustRightInd/>
        <w:snapToGrid/>
        <w:spacing w:line="520" w:lineRule="exact"/>
        <w:ind w:firstLine="320" w:firstLineChars="100"/>
        <w:textAlignment w:val="auto"/>
        <w:rPr>
          <w:rFonts w:hint="eastAsia" w:ascii="仿宋" w:hAnsi="仿宋" w:eastAsia="仿宋" w:cs="仿宋"/>
          <w:sz w:val="32"/>
          <w:szCs w:val="32"/>
          <w:lang w:val="en-US" w:eastAsia="zh-CN"/>
        </w:rPr>
      </w:pPr>
      <w:r>
        <w:rPr>
          <w:rFonts w:hint="eastAsia" w:ascii="宋体" w:hAnsi="宋体" w:eastAsia="宋体" w:cs="宋体"/>
          <w:i w:val="0"/>
          <w:iCs w:val="0"/>
          <w:caps w:val="0"/>
          <w:color w:val="666666"/>
          <w:spacing w:val="0"/>
          <w:sz w:val="32"/>
          <w:szCs w:val="32"/>
          <w:shd w:val="clear" w:color="auto" w:fill="FFFFFF"/>
        </w:rPr>
        <w:t>为切实做好202</w:t>
      </w:r>
      <w:r>
        <w:rPr>
          <w:rFonts w:hint="eastAsia" w:ascii="宋体" w:hAnsi="宋体" w:cs="宋体"/>
          <w:i w:val="0"/>
          <w:iCs w:val="0"/>
          <w:caps w:val="0"/>
          <w:color w:val="666666"/>
          <w:spacing w:val="0"/>
          <w:sz w:val="32"/>
          <w:szCs w:val="32"/>
          <w:shd w:val="clear" w:color="auto" w:fill="FFFFFF"/>
          <w:lang w:val="en-US" w:eastAsia="zh-CN"/>
        </w:rPr>
        <w:t>5</w:t>
      </w:r>
      <w:r>
        <w:rPr>
          <w:rFonts w:hint="eastAsia" w:ascii="宋体" w:hAnsi="宋体" w:eastAsia="宋体" w:cs="宋体"/>
          <w:i w:val="0"/>
          <w:iCs w:val="0"/>
          <w:caps w:val="0"/>
          <w:color w:val="666666"/>
          <w:spacing w:val="0"/>
          <w:sz w:val="32"/>
          <w:szCs w:val="32"/>
          <w:shd w:val="clear" w:color="auto" w:fill="FFFFFF"/>
        </w:rPr>
        <w:t>年度部门整体支出绩效自评工作，提高财政资金使用效益，根据《</w:t>
      </w:r>
      <w:r>
        <w:rPr>
          <w:rFonts w:hint="eastAsia" w:ascii="宋体" w:hAnsi="宋体" w:eastAsia="宋体" w:cs="宋体"/>
          <w:i w:val="0"/>
          <w:iCs w:val="0"/>
          <w:caps w:val="0"/>
          <w:color w:val="666666"/>
          <w:spacing w:val="0"/>
          <w:sz w:val="32"/>
          <w:szCs w:val="32"/>
          <w:shd w:val="clear" w:color="auto" w:fill="FFFFFF"/>
          <w:lang w:val="en-US" w:eastAsia="zh-CN"/>
        </w:rPr>
        <w:t>道</w:t>
      </w:r>
      <w:r>
        <w:rPr>
          <w:rFonts w:hint="eastAsia" w:ascii="宋体" w:hAnsi="宋体" w:eastAsia="宋体" w:cs="宋体"/>
          <w:i w:val="0"/>
          <w:iCs w:val="0"/>
          <w:caps w:val="0"/>
          <w:color w:val="666666"/>
          <w:spacing w:val="0"/>
          <w:sz w:val="32"/>
          <w:szCs w:val="32"/>
          <w:shd w:val="clear" w:color="auto" w:fill="FFFFFF"/>
        </w:rPr>
        <w:t>县财政局关于开展202</w:t>
      </w:r>
      <w:r>
        <w:rPr>
          <w:rFonts w:hint="eastAsia" w:ascii="宋体" w:hAnsi="宋体" w:cs="宋体"/>
          <w:i w:val="0"/>
          <w:iCs w:val="0"/>
          <w:caps w:val="0"/>
          <w:color w:val="666666"/>
          <w:spacing w:val="0"/>
          <w:sz w:val="32"/>
          <w:szCs w:val="32"/>
          <w:shd w:val="clear" w:color="auto" w:fill="FFFFFF"/>
          <w:lang w:val="en-US" w:eastAsia="zh-CN"/>
        </w:rPr>
        <w:t>5</w:t>
      </w:r>
      <w:r>
        <w:rPr>
          <w:rFonts w:hint="eastAsia" w:ascii="宋体" w:hAnsi="宋体" w:eastAsia="宋体" w:cs="宋体"/>
          <w:i w:val="0"/>
          <w:iCs w:val="0"/>
          <w:caps w:val="0"/>
          <w:color w:val="666666"/>
          <w:spacing w:val="0"/>
          <w:sz w:val="32"/>
          <w:szCs w:val="32"/>
          <w:shd w:val="clear" w:color="auto" w:fill="FFFFFF"/>
        </w:rPr>
        <w:t>年度财政资金绩效自评工作目标的通知》,我单位组织成立了绩效评价工作小组，通过采取听汇报、检查基本支出有关账目等方法，收集整理支出相关资料，我单位202</w:t>
      </w:r>
      <w:r>
        <w:rPr>
          <w:rFonts w:hint="eastAsia" w:ascii="宋体" w:hAnsi="宋体" w:cs="宋体"/>
          <w:i w:val="0"/>
          <w:iCs w:val="0"/>
          <w:caps w:val="0"/>
          <w:color w:val="666666"/>
          <w:spacing w:val="0"/>
          <w:sz w:val="32"/>
          <w:szCs w:val="32"/>
          <w:shd w:val="clear" w:color="auto" w:fill="FFFFFF"/>
          <w:lang w:val="en-US" w:eastAsia="zh-CN"/>
        </w:rPr>
        <w:t>5</w:t>
      </w:r>
      <w:r>
        <w:rPr>
          <w:rFonts w:hint="eastAsia" w:ascii="宋体" w:hAnsi="宋体" w:eastAsia="宋体" w:cs="宋体"/>
          <w:i w:val="0"/>
          <w:iCs w:val="0"/>
          <w:caps w:val="0"/>
          <w:color w:val="666666"/>
          <w:spacing w:val="0"/>
          <w:sz w:val="32"/>
          <w:szCs w:val="32"/>
          <w:shd w:val="clear" w:color="auto" w:fill="FFFFFF"/>
        </w:rPr>
        <w:t>年度评价得分为9</w:t>
      </w:r>
      <w:r>
        <w:rPr>
          <w:rFonts w:hint="eastAsia" w:ascii="宋体" w:hAnsi="宋体" w:cs="宋体"/>
          <w:i w:val="0"/>
          <w:iCs w:val="0"/>
          <w:caps w:val="0"/>
          <w:color w:val="666666"/>
          <w:spacing w:val="0"/>
          <w:sz w:val="32"/>
          <w:szCs w:val="32"/>
          <w:shd w:val="clear" w:color="auto" w:fill="FFFFFF"/>
          <w:lang w:val="en-US" w:eastAsia="zh-CN"/>
        </w:rPr>
        <w:t>5.92</w:t>
      </w:r>
      <w:r>
        <w:rPr>
          <w:rFonts w:hint="eastAsia" w:ascii="宋体" w:hAnsi="宋体" w:eastAsia="宋体" w:cs="宋体"/>
          <w:i w:val="0"/>
          <w:iCs w:val="0"/>
          <w:caps w:val="0"/>
          <w:color w:val="666666"/>
          <w:spacing w:val="0"/>
          <w:sz w:val="32"/>
          <w:szCs w:val="32"/>
          <w:shd w:val="clear" w:color="auto" w:fill="FFFFFF"/>
        </w:rPr>
        <w:t>分。评价等级为良好。现将我单位整体支出绩效自评结果报告如下：</w:t>
      </w:r>
      <w:r>
        <w:rPr>
          <w:rFonts w:hint="eastAsia" w:ascii="宋体" w:hAnsi="宋体" w:eastAsia="宋体" w:cs="宋体"/>
          <w:i w:val="0"/>
          <w:iCs w:val="0"/>
          <w:caps w:val="0"/>
          <w:color w:val="666666"/>
          <w:spacing w:val="0"/>
          <w:sz w:val="32"/>
          <w:szCs w:val="32"/>
          <w:shd w:val="clear" w:color="auto" w:fill="FFFFFF"/>
        </w:rPr>
        <w:br w:type="textWrapping"/>
      </w:r>
    </w:p>
    <w:p>
      <w:pPr>
        <w:ind w:firstLine="640" w:firstLineChars="200"/>
        <w:rPr>
          <w:rFonts w:hint="eastAsia" w:ascii="楷体" w:hAnsi="楷体" w:eastAsia="楷体" w:cs="楷体"/>
          <w:b/>
          <w:bCs/>
          <w:sz w:val="32"/>
          <w:szCs w:val="32"/>
        </w:rPr>
      </w:pPr>
      <w:r>
        <w:rPr>
          <w:rFonts w:hint="eastAsia" w:ascii="黑体" w:hAnsi="黑体" w:eastAsia="黑体" w:cs="黑体"/>
          <w:sz w:val="32"/>
          <w:szCs w:val="32"/>
          <w:lang w:val="en-US" w:eastAsia="zh-CN"/>
        </w:rPr>
        <w:t>（一）、</w:t>
      </w:r>
      <w:r>
        <w:rPr>
          <w:rFonts w:hint="eastAsia" w:ascii="黑体" w:hAnsi="黑体" w:eastAsia="黑体" w:cs="黑体"/>
          <w:sz w:val="32"/>
          <w:szCs w:val="32"/>
        </w:rPr>
        <w:t>聚焦主责主业，提升</w:t>
      </w:r>
      <w:r>
        <w:rPr>
          <w:rFonts w:hint="eastAsia" w:ascii="黑体" w:hAnsi="黑体" w:eastAsia="黑体" w:cs="黑体"/>
          <w:sz w:val="32"/>
          <w:szCs w:val="32"/>
          <w:lang w:val="en-US" w:eastAsia="zh-CN"/>
        </w:rPr>
        <w:t>监管</w:t>
      </w:r>
      <w:r>
        <w:rPr>
          <w:rFonts w:hint="eastAsia" w:ascii="黑体" w:hAnsi="黑体" w:eastAsia="黑体" w:cs="黑体"/>
          <w:sz w:val="32"/>
          <w:szCs w:val="32"/>
        </w:rPr>
        <w:t>效能</w:t>
      </w:r>
    </w:p>
    <w:p>
      <w:pPr>
        <w:ind w:firstLine="640" w:firstLineChars="200"/>
        <w:rPr>
          <w:rFonts w:hint="eastAsia" w:ascii="仿宋" w:hAnsi="仿宋" w:eastAsia="仿宋" w:cs="仿宋"/>
          <w:sz w:val="32"/>
          <w:szCs w:val="32"/>
        </w:rPr>
      </w:pPr>
      <w:r>
        <w:rPr>
          <w:rFonts w:hint="eastAsia" w:ascii="楷体" w:hAnsi="楷体" w:eastAsia="楷体" w:cs="楷体"/>
          <w:b/>
          <w:bCs/>
          <w:sz w:val="32"/>
          <w:szCs w:val="32"/>
          <w:lang w:val="en-US" w:eastAsia="zh-CN"/>
        </w:rPr>
        <w:t>1、</w:t>
      </w:r>
      <w:r>
        <w:rPr>
          <w:rFonts w:hint="eastAsia" w:ascii="楷体" w:hAnsi="楷体" w:eastAsia="楷体" w:cs="楷体"/>
          <w:b/>
          <w:bCs/>
          <w:sz w:val="32"/>
          <w:szCs w:val="32"/>
        </w:rPr>
        <w:t>健全执法体系，提升监管效能</w:t>
      </w:r>
      <w:r>
        <w:rPr>
          <w:rFonts w:hint="eastAsia" w:ascii="楷体" w:hAnsi="楷体" w:eastAsia="楷体" w:cs="楷体"/>
          <w:b/>
          <w:bCs/>
          <w:sz w:val="32"/>
          <w:szCs w:val="32"/>
          <w:lang w:eastAsia="zh-CN"/>
        </w:rPr>
        <w:t>。</w:t>
      </w:r>
      <w:r>
        <w:rPr>
          <w:rFonts w:hint="eastAsia" w:ascii="仿宋" w:hAnsi="仿宋" w:eastAsia="仿宋" w:cs="仿宋"/>
          <w:sz w:val="32"/>
          <w:szCs w:val="32"/>
        </w:rPr>
        <w:t xml:space="preserve"> </w:t>
      </w:r>
    </w:p>
    <w:p>
      <w:pPr>
        <w:ind w:firstLine="640" w:firstLineChars="200"/>
        <w:rPr>
          <w:rFonts w:hint="default" w:ascii="仿宋" w:hAnsi="仿宋" w:eastAsia="仿宋" w:cs="仿宋"/>
          <w:sz w:val="32"/>
          <w:szCs w:val="32"/>
          <w:lang w:val="en-US"/>
        </w:rPr>
      </w:pPr>
      <w:r>
        <w:rPr>
          <w:rFonts w:hint="eastAsia" w:ascii="仿宋" w:hAnsi="仿宋" w:eastAsia="仿宋" w:cs="仿宋"/>
          <w:sz w:val="32"/>
          <w:szCs w:val="32"/>
        </w:rPr>
        <w:t>牵头构建“日常监管+专项整治+随机抽查”三位一体监管模式，优化执法流程，规范执法文书制作与案件查办程序，</w:t>
      </w:r>
      <w:r>
        <w:rPr>
          <w:rFonts w:hint="eastAsia" w:ascii="仿宋" w:hAnsi="仿宋" w:eastAsia="仿宋" w:cs="仿宋"/>
          <w:color w:val="000000"/>
          <w:sz w:val="32"/>
          <w:szCs w:val="32"/>
        </w:rPr>
        <w:t>全年累计出动执法人员</w:t>
      </w:r>
      <w:r>
        <w:rPr>
          <w:rFonts w:hint="eastAsia" w:ascii="仿宋" w:hAnsi="仿宋" w:eastAsia="仿宋" w:cs="仿宋"/>
          <w:color w:val="000000"/>
          <w:sz w:val="32"/>
          <w:szCs w:val="32"/>
          <w:lang w:val="en-US" w:eastAsia="zh-CN"/>
        </w:rPr>
        <w:t>4568</w:t>
      </w:r>
      <w:r>
        <w:rPr>
          <w:rFonts w:hint="eastAsia" w:ascii="仿宋" w:hAnsi="仿宋" w:eastAsia="仿宋" w:cs="仿宋"/>
          <w:color w:val="000000"/>
          <w:sz w:val="32"/>
          <w:szCs w:val="32"/>
        </w:rPr>
        <w:t>余人次，检查各类单位</w:t>
      </w:r>
      <w:r>
        <w:rPr>
          <w:rFonts w:hint="eastAsia" w:ascii="仿宋" w:hAnsi="仿宋" w:eastAsia="仿宋" w:cs="仿宋"/>
          <w:color w:val="000000"/>
          <w:sz w:val="32"/>
          <w:szCs w:val="32"/>
          <w:lang w:val="en-US" w:eastAsia="zh-CN"/>
        </w:rPr>
        <w:t>2013</w:t>
      </w:r>
      <w:r>
        <w:rPr>
          <w:rFonts w:hint="eastAsia" w:ascii="仿宋" w:hAnsi="仿宋" w:eastAsia="仿宋" w:cs="仿宋"/>
          <w:color w:val="000000"/>
          <w:sz w:val="32"/>
          <w:szCs w:val="32"/>
        </w:rPr>
        <w:t>家次，监督覆盖率达9</w:t>
      </w:r>
      <w:r>
        <w:rPr>
          <w:rFonts w:hint="eastAsia" w:ascii="仿宋" w:hAnsi="仿宋" w:eastAsia="仿宋" w:cs="仿宋"/>
          <w:color w:val="000000"/>
          <w:sz w:val="32"/>
          <w:szCs w:val="32"/>
          <w:lang w:val="en-US" w:eastAsia="zh-CN"/>
        </w:rPr>
        <w:t>9</w:t>
      </w:r>
      <w:r>
        <w:rPr>
          <w:rFonts w:hint="eastAsia" w:ascii="仿宋" w:hAnsi="仿宋" w:eastAsia="仿宋" w:cs="仿宋"/>
          <w:color w:val="000000"/>
          <w:sz w:val="32"/>
          <w:szCs w:val="32"/>
        </w:rPr>
        <w:t>.</w:t>
      </w:r>
      <w:r>
        <w:rPr>
          <w:rFonts w:hint="eastAsia" w:ascii="仿宋" w:hAnsi="仿宋" w:eastAsia="仿宋" w:cs="仿宋"/>
          <w:color w:val="000000"/>
          <w:sz w:val="32"/>
          <w:szCs w:val="32"/>
          <w:lang w:val="en-US" w:eastAsia="zh-CN"/>
        </w:rPr>
        <w:t>7</w:t>
      </w:r>
      <w:r>
        <w:rPr>
          <w:rFonts w:hint="eastAsia" w:ascii="仿宋" w:hAnsi="仿宋" w:eastAsia="仿宋" w:cs="仿宋"/>
          <w:color w:val="000000"/>
          <w:sz w:val="32"/>
          <w:szCs w:val="32"/>
        </w:rPr>
        <w:t>%，较上年提升1</w:t>
      </w:r>
      <w:r>
        <w:rPr>
          <w:rFonts w:hint="eastAsia" w:ascii="仿宋" w:hAnsi="仿宋" w:eastAsia="仿宋" w:cs="仿宋"/>
          <w:color w:val="000000"/>
          <w:sz w:val="32"/>
          <w:szCs w:val="32"/>
          <w:lang w:val="en-US" w:eastAsia="zh-CN"/>
        </w:rPr>
        <w:t>.21</w:t>
      </w:r>
      <w:r>
        <w:rPr>
          <w:rFonts w:hint="eastAsia" w:ascii="仿宋" w:hAnsi="仿宋" w:eastAsia="仿宋" w:cs="仿宋"/>
          <w:color w:val="000000"/>
          <w:sz w:val="32"/>
          <w:szCs w:val="32"/>
        </w:rPr>
        <w:t>个百分点。</w:t>
      </w:r>
      <w:r>
        <w:rPr>
          <w:rFonts w:hint="eastAsia" w:ascii="仿宋" w:hAnsi="仿宋" w:eastAsia="仿宋" w:cs="仿宋"/>
          <w:sz w:val="32"/>
          <w:szCs w:val="32"/>
        </w:rPr>
        <w:t>创新推行“互联网+监管”模式，搭建道县卫监智慧监管平台，实现执法数据实时上报、案件线上督办、隐患智能预警，全年</w:t>
      </w:r>
      <w:r>
        <w:rPr>
          <w:rFonts w:hint="eastAsia" w:ascii="仿宋" w:hAnsi="仿宋" w:eastAsia="仿宋" w:cs="仿宋"/>
          <w:sz w:val="32"/>
          <w:szCs w:val="32"/>
          <w:lang w:eastAsia="zh-CN"/>
        </w:rPr>
        <w:t>开展卫生法律宣传</w:t>
      </w:r>
      <w:r>
        <w:rPr>
          <w:rFonts w:hint="eastAsia" w:ascii="仿宋" w:hAnsi="仿宋" w:eastAsia="仿宋" w:cs="仿宋"/>
          <w:sz w:val="32"/>
          <w:szCs w:val="32"/>
          <w:lang w:val="en-US" w:eastAsia="zh-CN"/>
        </w:rPr>
        <w:t>6次，</w:t>
      </w:r>
      <w:r>
        <w:rPr>
          <w:rFonts w:hint="eastAsia" w:ascii="仿宋" w:hAnsi="仿宋" w:eastAsia="仿宋" w:cs="仿宋"/>
          <w:sz w:val="32"/>
          <w:szCs w:val="32"/>
          <w:lang w:eastAsia="zh-CN"/>
        </w:rPr>
        <w:t>办理卫生许可证</w:t>
      </w:r>
      <w:r>
        <w:rPr>
          <w:rFonts w:hint="eastAsia" w:ascii="仿宋" w:hAnsi="仿宋" w:eastAsia="仿宋" w:cs="仿宋"/>
          <w:sz w:val="32"/>
          <w:szCs w:val="32"/>
          <w:lang w:val="en-US" w:eastAsia="zh-CN"/>
        </w:rPr>
        <w:t>203件，完成国家双随机抽检任务60家，查处案件54起。全年处理群众投诉举报22件，办结率100%，群众满意度达96%。</w:t>
      </w:r>
    </w:p>
    <w:p>
      <w:pPr>
        <w:ind w:firstLine="640" w:firstLineChars="200"/>
        <w:rPr>
          <w:rFonts w:hint="eastAsia" w:ascii="楷体" w:hAnsi="楷体" w:eastAsia="楷体" w:cs="楷体"/>
          <w:b/>
          <w:bCs/>
          <w:sz w:val="32"/>
          <w:szCs w:val="32"/>
        </w:rPr>
      </w:pPr>
      <w:r>
        <w:rPr>
          <w:rFonts w:hint="eastAsia" w:ascii="楷体" w:hAnsi="楷体" w:eastAsia="楷体" w:cs="楷体"/>
          <w:b/>
          <w:bCs/>
          <w:sz w:val="32"/>
          <w:szCs w:val="32"/>
          <w:lang w:val="en-US" w:eastAsia="zh-CN"/>
        </w:rPr>
        <w:t>2、</w:t>
      </w:r>
      <w:r>
        <w:rPr>
          <w:rFonts w:hint="eastAsia" w:ascii="楷体" w:hAnsi="楷体" w:eastAsia="楷体" w:cs="楷体"/>
          <w:b/>
          <w:bCs/>
          <w:sz w:val="32"/>
          <w:szCs w:val="32"/>
        </w:rPr>
        <w:t>突出执法重点，筑牢健康屏障</w:t>
      </w:r>
    </w:p>
    <w:p>
      <w:pPr>
        <w:ind w:firstLine="640" w:firstLineChars="200"/>
        <w:rPr>
          <w:rFonts w:hint="eastAsia" w:ascii="黑体" w:hAnsi="黑体" w:eastAsia="黑体" w:cs="黑体"/>
          <w:b w:val="0"/>
          <w:bCs/>
          <w:sz w:val="32"/>
          <w:szCs w:val="32"/>
        </w:rPr>
      </w:pPr>
      <w:r>
        <w:rPr>
          <w:rFonts w:hint="eastAsia" w:ascii="仿宋" w:hAnsi="仿宋" w:eastAsia="仿宋" w:cs="仿宋"/>
          <w:sz w:val="32"/>
          <w:szCs w:val="32"/>
        </w:rPr>
        <w:t>围绕群众关切的突出问题，组织开展系列专项行动：</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楷体" w:hAnsi="楷体" w:eastAsia="楷体" w:cs="楷体"/>
          <w:b/>
          <w:sz w:val="32"/>
          <w:szCs w:val="32"/>
        </w:rPr>
      </w:pPr>
      <w:r>
        <w:rPr>
          <w:rFonts w:hint="eastAsia" w:ascii="楷体" w:hAnsi="楷体" w:eastAsia="楷体" w:cs="楷体"/>
          <w:b/>
          <w:sz w:val="32"/>
          <w:szCs w:val="32"/>
          <w:lang w:val="en-US" w:eastAsia="zh-CN"/>
        </w:rPr>
        <w:t>(1)、加强公共场所卫生监督工作</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按照《中华人民共和国传染病防治法》《公共场所卫生管理条例》《公共场所卫生管理条例实施细则》等法律法规和有关卫生规范、标准，重点对公共场所卫生许可证持证情况，从业人员健康体检、顾客用品用具消毒检测、环境卫生、公共场所控烟、量化分级管理等卫生情况进行监督检查，全年共出动车辆138台次，卫生监督员422人次，监督检查公共场所137家，出具卫生监督意见书25份，处罚16家。有效预防健康危害事故的发生，切实保障广大消费者身体健康。</w:t>
      </w:r>
    </w:p>
    <w:p>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20" w:lineRule="exact"/>
        <w:ind w:firstLine="640" w:firstLineChars="200"/>
        <w:textAlignment w:val="auto"/>
        <w:rPr>
          <w:rFonts w:hint="eastAsia" w:ascii="楷体" w:hAnsi="楷体" w:eastAsia="楷体" w:cs="楷体"/>
          <w:b/>
          <w:color w:val="000000"/>
          <w:kern w:val="0"/>
          <w:sz w:val="32"/>
          <w:szCs w:val="32"/>
          <w:lang w:val="en-US" w:eastAsia="zh-CN"/>
        </w:rPr>
      </w:pPr>
      <w:r>
        <w:rPr>
          <w:rFonts w:hint="eastAsia" w:ascii="楷体" w:hAnsi="楷体" w:eastAsia="楷体" w:cs="楷体"/>
          <w:b/>
          <w:color w:val="000000"/>
          <w:kern w:val="0"/>
          <w:sz w:val="32"/>
          <w:szCs w:val="32"/>
          <w:lang w:val="en-US" w:eastAsia="zh-CN"/>
        </w:rPr>
        <w:t>(2).加强生活饮用水监督工作</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default" w:ascii="仿宋" w:hAnsi="仿宋" w:eastAsia="仿宋" w:cs="仿宋"/>
          <w:sz w:val="32"/>
          <w:szCs w:val="32"/>
          <w:lang w:val="en-US" w:eastAsia="zh-CN"/>
        </w:rPr>
      </w:pPr>
      <w:r>
        <w:rPr>
          <w:rFonts w:hint="eastAsia" w:ascii="仿宋" w:hAnsi="仿宋" w:eastAsia="仿宋" w:cs="仿宋"/>
          <w:b/>
          <w:bCs/>
          <w:sz w:val="32"/>
          <w:szCs w:val="32"/>
          <w:lang w:val="en-US" w:eastAsia="zh-CN"/>
        </w:rPr>
        <w:t>a.加强生活饮用水日常监督与指导。</w:t>
      </w:r>
      <w:r>
        <w:rPr>
          <w:rFonts w:hint="eastAsia" w:ascii="仿宋" w:hAnsi="仿宋" w:eastAsia="仿宋" w:cs="仿宋"/>
          <w:sz w:val="32"/>
          <w:szCs w:val="32"/>
          <w:lang w:val="en-US" w:eastAsia="zh-CN"/>
        </w:rPr>
        <w:t>按照《传染病防治法》《生活饮用水卫生监督管理办法》的相关规定，重点对县自来水厂的水源防护区、取水口、机泵房、实验室等区域进行现场监督指导；对10家农村千人万吨饮用水水厂水源水卫生防护、水质消毒、水质自检、卫生许可证、从业人员健康证等情况进行了现场监督指导。对检查中发现的问题要求立即整改。全年共监督集中式供水单位17家。</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b/>
          <w:bCs/>
          <w:sz w:val="32"/>
          <w:szCs w:val="32"/>
          <w:lang w:val="en-US" w:eastAsia="zh-CN"/>
        </w:rPr>
        <w:t>b.加强生活饮用水卫生安全知识宣传。</w:t>
      </w:r>
      <w:r>
        <w:rPr>
          <w:rFonts w:hint="eastAsia" w:ascii="仿宋" w:hAnsi="仿宋" w:eastAsia="仿宋" w:cs="仿宋"/>
          <w:sz w:val="32"/>
          <w:szCs w:val="32"/>
          <w:lang w:val="en-US" w:eastAsia="zh-CN"/>
        </w:rPr>
        <w:t>5月，我县生活饮用水卫生宣传活动全面启动。今年饮用水卫生宣传周活动主题是“关注饮用水卫生，护卫健康生活”。县卫健局、卫生监督执法局、县疾病预防控制中心、县自来水公司及相关单位联合开展了卫生宣传现场宣传活动。此次宣传活动通过采取悬挂横幅、设立展板、宣传资料发放、现场答疑等形式向过往群众宣传、讲解了饮用水卫生相关法律、法规、标准及知识，共发宣传资料2000余份；悬挂横幅1条，展板3块。</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楷体" w:hAnsi="楷体" w:eastAsia="楷体" w:cs="楷体"/>
          <w:b/>
          <w:sz w:val="32"/>
          <w:szCs w:val="32"/>
          <w:lang w:val="en-US" w:eastAsia="zh-CN"/>
        </w:rPr>
      </w:pPr>
      <w:r>
        <w:rPr>
          <w:rFonts w:hint="eastAsia" w:ascii="楷体" w:hAnsi="楷体" w:eastAsia="楷体" w:cs="楷体"/>
          <w:b/>
          <w:sz w:val="32"/>
          <w:szCs w:val="32"/>
          <w:lang w:val="en-US" w:eastAsia="zh-CN"/>
        </w:rPr>
        <w:t>(3)加强学校卫生监督工作</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default" w:ascii="楷体" w:hAnsi="楷体" w:eastAsia="楷体" w:cs="楷体"/>
          <w:b w:val="0"/>
          <w:bCs/>
          <w:color w:val="auto"/>
          <w:sz w:val="32"/>
          <w:szCs w:val="32"/>
          <w:lang w:val="en-US" w:eastAsia="zh-CN"/>
        </w:rPr>
      </w:pPr>
      <w:r>
        <w:rPr>
          <w:rFonts w:hint="eastAsia" w:ascii="楷体" w:hAnsi="楷体" w:eastAsia="楷体" w:cs="楷体"/>
          <w:b w:val="0"/>
          <w:bCs/>
          <w:color w:val="auto"/>
          <w:sz w:val="32"/>
          <w:szCs w:val="32"/>
          <w:lang w:val="en-US" w:eastAsia="zh-CN"/>
        </w:rPr>
        <w:t>本年度，在单位领导的高度重视与具体业务指导下，我们严格遵循《学校卫生工作条例》、《中华人民共和国传染病防治法》等相关法律法规，认真贯彻落实上级疾病预防控制部门和卫生健康委员会的工作部署，有序推进并完成了各项学校卫生监督工作任务。截至 2025年12月25日，累计监督学校91家次，出动卫生监督员182人次，办结案件25起，其中简易案件24起，一般案件1起，共计罚款金额27800元。</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b/>
          <w:bCs/>
          <w:color w:val="auto"/>
          <w:sz w:val="32"/>
          <w:szCs w:val="32"/>
          <w:lang w:val="en-US" w:eastAsia="zh-CN"/>
        </w:rPr>
        <w:t>a.开展春秋季开学专项检查：</w:t>
      </w:r>
      <w:r>
        <w:rPr>
          <w:rFonts w:hint="eastAsia" w:ascii="仿宋" w:hAnsi="仿宋" w:eastAsia="仿宋" w:cs="仿宋"/>
          <w:sz w:val="32"/>
          <w:szCs w:val="32"/>
          <w:lang w:val="en-US" w:eastAsia="zh-CN"/>
        </w:rPr>
        <w:t>在2025年春秋季开学之际，按照市卫健委的工作要求和我县工作方案，组织卫生监督员和卫生监督协管员对全县学校进行拉网式检查，重点检查学校传染病防控和生活饮用水卫生管理情况。共监督检查</w:t>
      </w:r>
      <w:r>
        <w:rPr>
          <w:rFonts w:hint="eastAsia" w:ascii="仿宋" w:hAnsi="仿宋" w:eastAsia="仿宋" w:cs="仿宋"/>
          <w:color w:val="auto"/>
          <w:sz w:val="32"/>
          <w:szCs w:val="32"/>
          <w:lang w:val="en-US" w:eastAsia="zh-CN"/>
        </w:rPr>
        <w:t>196所学校，发现问题515条</w:t>
      </w:r>
      <w:r>
        <w:rPr>
          <w:rFonts w:hint="eastAsia" w:ascii="仿宋" w:hAnsi="仿宋" w:eastAsia="仿宋" w:cs="仿宋"/>
          <w:sz w:val="32"/>
          <w:szCs w:val="32"/>
          <w:lang w:val="en-US" w:eastAsia="zh-CN"/>
        </w:rPr>
        <w:t>，对发现的问题均下达卫生监督意见书责令限期整改，同时将检查结果通报县教育局，要求督促相关学校整改，为师生开学安全用水保驾护航。</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b/>
          <w:bCs/>
          <w:sz w:val="32"/>
          <w:szCs w:val="32"/>
          <w:lang w:val="en-US" w:eastAsia="zh-CN"/>
        </w:rPr>
        <w:t>b.开展学校生活饮用水卫生管理的抽查：</w:t>
      </w:r>
      <w:r>
        <w:rPr>
          <w:rFonts w:hint="eastAsia" w:ascii="仿宋" w:hAnsi="仿宋" w:eastAsia="仿宋" w:cs="仿宋"/>
          <w:sz w:val="32"/>
          <w:szCs w:val="32"/>
          <w:lang w:val="en-US" w:eastAsia="zh-CN"/>
        </w:rPr>
        <w:t>除春秋季开学检查外，重点抽查了自建设施集中式供水、二次供水、高考考点、市里暗访发现问题的学校等重点学校生活饮用水卫生管理情况。检查内容包括水源卫生防护、供水设施运行状况、清洗消毒、涉水产品卫生许可批件索证情况、卫生许可等。共检查学校78家，下达卫生监督意见书73份，责令限期整改，并跟踪复查。</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 w:hAnsi="仿宋" w:eastAsia="仿宋" w:cs="仿宋"/>
          <w:sz w:val="32"/>
          <w:szCs w:val="32"/>
        </w:rPr>
      </w:pPr>
      <w:r>
        <w:rPr>
          <w:rFonts w:hint="eastAsia" w:ascii="楷体" w:hAnsi="楷体" w:eastAsia="楷体" w:cs="楷体"/>
          <w:b/>
          <w:bCs/>
          <w:sz w:val="32"/>
          <w:szCs w:val="32"/>
          <w:lang w:val="en-US" w:eastAsia="zh-CN"/>
        </w:rPr>
        <w:t>c.</w:t>
      </w:r>
      <w:r>
        <w:rPr>
          <w:rFonts w:hint="eastAsia" w:ascii="楷体" w:hAnsi="楷体" w:eastAsia="楷体" w:cs="楷体"/>
          <w:b/>
          <w:bCs/>
          <w:sz w:val="32"/>
          <w:szCs w:val="32"/>
        </w:rPr>
        <w:t>组织学校管理人员培训：</w:t>
      </w:r>
      <w:r>
        <w:rPr>
          <w:rFonts w:hint="eastAsia" w:ascii="仿宋" w:hAnsi="仿宋" w:eastAsia="仿宋" w:cs="仿宋"/>
          <w:sz w:val="32"/>
          <w:szCs w:val="32"/>
        </w:rPr>
        <w:t>举办学校生活饮用水卫生知识培训班</w:t>
      </w:r>
      <w:r>
        <w:rPr>
          <w:rFonts w:hint="eastAsia" w:ascii="仿宋" w:hAnsi="仿宋" w:eastAsia="仿宋" w:cs="仿宋"/>
          <w:sz w:val="32"/>
          <w:szCs w:val="32"/>
          <w:lang w:val="en-US" w:eastAsia="zh-CN"/>
        </w:rPr>
        <w:t>2</w:t>
      </w:r>
      <w:r>
        <w:rPr>
          <w:rFonts w:hint="eastAsia" w:ascii="仿宋" w:hAnsi="仿宋" w:eastAsia="仿宋" w:cs="仿宋"/>
          <w:sz w:val="32"/>
          <w:szCs w:val="32"/>
        </w:rPr>
        <w:t>期，培训学校管理人员、后勤人员</w:t>
      </w:r>
      <w:r>
        <w:rPr>
          <w:rFonts w:hint="eastAsia" w:ascii="仿宋" w:hAnsi="仿宋" w:eastAsia="仿宋" w:cs="仿宋"/>
          <w:sz w:val="32"/>
          <w:szCs w:val="32"/>
          <w:lang w:val="en-US" w:eastAsia="zh-CN"/>
        </w:rPr>
        <w:t>近300</w:t>
      </w:r>
      <w:r>
        <w:rPr>
          <w:rFonts w:hint="eastAsia" w:ascii="仿宋" w:hAnsi="仿宋" w:eastAsia="仿宋" w:cs="仿宋"/>
          <w:sz w:val="32"/>
          <w:szCs w:val="32"/>
        </w:rPr>
        <w:t>人次，详细讲解饮用水卫生相关法律法规、卫生标准以及日常管理要点，提升学校自身管理水平。</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default" w:ascii="仿宋" w:hAnsi="仿宋" w:eastAsia="仿宋" w:cs="仿宋"/>
          <w:b/>
          <w:bCs/>
          <w:sz w:val="32"/>
          <w:szCs w:val="32"/>
          <w:lang w:val="en-US" w:eastAsia="zh-CN"/>
        </w:rPr>
      </w:pPr>
      <w:r>
        <w:rPr>
          <w:rFonts w:hint="eastAsia" w:ascii="仿宋" w:hAnsi="仿宋" w:eastAsia="仿宋" w:cs="仿宋"/>
          <w:b/>
          <w:bCs/>
          <w:sz w:val="32"/>
          <w:szCs w:val="32"/>
          <w:lang w:val="en-US" w:eastAsia="zh-CN"/>
        </w:rPr>
        <w:t>d.执行国家“双随机”监督抽查：</w:t>
      </w:r>
      <w:r>
        <w:rPr>
          <w:rFonts w:hint="eastAsia" w:ascii="仿宋" w:hAnsi="仿宋" w:eastAsia="仿宋" w:cs="仿宋"/>
          <w:b w:val="0"/>
          <w:bCs w:val="0"/>
          <w:sz w:val="32"/>
          <w:szCs w:val="32"/>
          <w:lang w:val="en-US" w:eastAsia="zh-CN"/>
        </w:rPr>
        <w:t>按照国家双随机监督抽查任务要求，对学校教学和生活环境、学习用品、饮用水卫生管理、传染病防控以及学校卫生保健机构设置与人员配备情况进行了重点检查，并抽检了教室采光、照明、人均面积及饮用水水质。共计抽检学校13所，托幼机构12所，校外培训机构1所。其中1所幼儿园关停，有2所学校、1所托育机构、1所幼儿园、1所校外培训机构的采光照明检测结果不符合国家标准。对采光照明不符合国家标准及规范的机构下达整改意见书并督促整改。</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楷体" w:hAnsi="楷体" w:eastAsia="楷体" w:cs="楷体"/>
          <w:b/>
          <w:sz w:val="32"/>
          <w:szCs w:val="32"/>
          <w:lang w:val="en-US" w:eastAsia="zh-CN"/>
        </w:rPr>
      </w:pPr>
      <w:r>
        <w:rPr>
          <w:rFonts w:hint="eastAsia" w:ascii="楷体" w:hAnsi="楷体" w:eastAsia="楷体" w:cs="楷体"/>
          <w:b/>
          <w:sz w:val="32"/>
          <w:szCs w:val="32"/>
          <w:lang w:val="en-US" w:eastAsia="zh-CN"/>
        </w:rPr>
        <w:t>（4）加强消毒卫生监督工作</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default"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深入开展消毒卫生工作，本年度累计监督消毒产品经营单位16家次，出动卫生监督员32人次，办结案件3起，其中简易案件2起，一般案件1起，共计罚款金额4000元。</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b/>
          <w:bCs/>
          <w:sz w:val="32"/>
          <w:szCs w:val="32"/>
          <w:lang w:val="en-US" w:eastAsia="zh-CN"/>
        </w:rPr>
        <w:t>a.开展卫生用品专项抽检。</w:t>
      </w:r>
      <w:r>
        <w:rPr>
          <w:rFonts w:hint="eastAsia" w:ascii="仿宋" w:hAnsi="仿宋" w:eastAsia="仿宋" w:cs="仿宋"/>
          <w:sz w:val="32"/>
          <w:szCs w:val="32"/>
          <w:lang w:val="en-US" w:eastAsia="zh-CN"/>
        </w:rPr>
        <w:t>为贯彻落实《湖南省疾病预防控制局关于加强卫生用品监督执法的通知》文件精神，开展卫生用品专项监督执法，本次卫生用品专项监督执法检查共抽查超市、母婴店5家，抽查不同厂家、不同批次的女性经期卫生用品和尿裤27个。重点检查超市、母婴店是否建立和落实采购卫生用品查验货制度、是否索证、是否建立台账、标签及说明书是否符合国家卫生标准和规范、是否在有效期内等内容，我局卫生监督员针对不同的问题，共下达了5份卫生监督意见书。</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b/>
          <w:bCs/>
          <w:sz w:val="32"/>
          <w:szCs w:val="32"/>
          <w:lang w:val="en-US" w:eastAsia="zh-CN"/>
        </w:rPr>
        <w:t>b.加大餐饮具集中消毒服务单位监督检查。</w:t>
      </w:r>
      <w:r>
        <w:rPr>
          <w:rFonts w:hint="eastAsia" w:ascii="仿宋" w:hAnsi="仿宋" w:eastAsia="仿宋" w:cs="仿宋"/>
          <w:sz w:val="32"/>
          <w:szCs w:val="32"/>
          <w:lang w:val="en-US" w:eastAsia="zh-CN"/>
        </w:rPr>
        <w:t>春节期间我局监督员突击对县内2家消毒公司进行了专门检查，逐一查验消毒企业对消毒后餐具的批次检验合格报告、随附消毒合格证明、产品标签标识，上述两家企业均按照要求规范管理企业卫生。8月、9月配合市疾病预防控制中心对两家消毒企业进行了监督检查，随机抽查消毒碗筷产品均符合卫生要求。</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default" w:ascii="仿宋" w:hAnsi="仿宋" w:eastAsia="仿宋" w:cs="仿宋"/>
          <w:sz w:val="32"/>
          <w:szCs w:val="32"/>
          <w:lang w:val="en-US" w:eastAsia="zh-CN"/>
        </w:rPr>
      </w:pPr>
      <w:r>
        <w:rPr>
          <w:rFonts w:hint="eastAsia" w:ascii="仿宋" w:hAnsi="仿宋" w:eastAsia="仿宋" w:cs="仿宋"/>
          <w:b/>
          <w:bCs/>
          <w:color w:val="auto"/>
          <w:sz w:val="32"/>
          <w:szCs w:val="32"/>
          <w:lang w:val="en-US" w:eastAsia="zh-CN"/>
        </w:rPr>
        <w:t>c.</w:t>
      </w:r>
      <w:r>
        <w:rPr>
          <w:rFonts w:hint="eastAsia" w:ascii="仿宋" w:hAnsi="仿宋" w:eastAsia="仿宋" w:cs="仿宋"/>
          <w:sz w:val="32"/>
          <w:szCs w:val="32"/>
          <w:lang w:val="en-US" w:eastAsia="zh-CN"/>
        </w:rPr>
        <w:t>根据《湖南省疾病预防控制局综合监督一处关于印发《2025年湖南省消毒产品随机监督抽查计划》的通知》及省、市关于"双随机、一公开"监管工作的部署，对辖区内10家消毒产品经营单位开展了双随机监督抽查，针对发现问题均下发卫生监督意见书，检查同时，向商家普及卫生用品相关法律法规，提升经营者守法意识。</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楷体" w:hAnsi="楷体" w:eastAsia="楷体" w:cs="楷体"/>
          <w:b/>
          <w:sz w:val="32"/>
          <w:szCs w:val="32"/>
          <w:lang w:val="en-US" w:eastAsia="zh-CN"/>
        </w:rPr>
      </w:pPr>
      <w:r>
        <w:rPr>
          <w:rFonts w:hint="eastAsia" w:ascii="楷体" w:hAnsi="楷体" w:eastAsia="楷体" w:cs="楷体"/>
          <w:b/>
          <w:sz w:val="32"/>
          <w:szCs w:val="32"/>
          <w:lang w:val="en-US" w:eastAsia="zh-CN"/>
        </w:rPr>
        <w:t>(5)加强医疗机构依法执业和传染病防治监督工作</w:t>
      </w:r>
    </w:p>
    <w:p>
      <w:pPr>
        <w:ind w:firstLine="640" w:firstLineChars="200"/>
        <w:rPr>
          <w:rFonts w:hint="default" w:ascii="仿宋" w:hAnsi="仿宋" w:eastAsia="仿宋" w:cs="仿宋"/>
          <w:b/>
          <w:bCs/>
          <w:sz w:val="32"/>
          <w:szCs w:val="32"/>
          <w:lang w:val="en-US" w:eastAsia="zh-CN"/>
        </w:rPr>
      </w:pPr>
      <w:r>
        <w:rPr>
          <w:rFonts w:hint="eastAsia" w:ascii="仿宋" w:hAnsi="仿宋" w:eastAsia="仿宋" w:cs="仿宋"/>
          <w:b/>
          <w:bCs/>
          <w:sz w:val="32"/>
          <w:szCs w:val="32"/>
          <w:lang w:val="en-US" w:eastAsia="zh-CN"/>
        </w:rPr>
        <w:t>a、开展打击非法行医集中治理行动</w:t>
      </w:r>
    </w:p>
    <w:p>
      <w:pPr>
        <w:ind w:firstLine="560"/>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为</w:t>
      </w:r>
      <w:bookmarkStart w:id="3" w:name="_GoBack"/>
      <w:bookmarkEnd w:id="3"/>
      <w:r>
        <w:rPr>
          <w:rFonts w:hint="eastAsia" w:ascii="仿宋" w:hAnsi="仿宋" w:eastAsia="仿宋" w:cs="仿宋"/>
          <w:sz w:val="32"/>
          <w:szCs w:val="32"/>
          <w:lang w:val="en-US" w:eastAsia="zh-CN"/>
        </w:rPr>
        <w:t>进一步整顿和规范我县医疗服务市场秩序，切实维护人民群众健康权益，改善人民群众就医体验，我股室结合本县实际，集中力量开展了集中治理行动。截至 2025年12</w:t>
      </w:r>
      <w:r>
        <w:rPr>
          <w:rFonts w:hint="eastAsia" w:ascii="仿宋" w:hAnsi="仿宋" w:eastAsia="仿宋" w:cs="仿宋"/>
          <w:b w:val="0"/>
          <w:bCs w:val="0"/>
          <w:i w:val="0"/>
          <w:iCs w:val="0"/>
          <w:caps w:val="0"/>
          <w:color w:val="000000"/>
          <w:spacing w:val="0"/>
          <w:kern w:val="0"/>
          <w:sz w:val="32"/>
          <w:szCs w:val="32"/>
          <w:shd w:val="clear" w:color="auto" w:fill="FFFFFF"/>
          <w:lang w:val="en-US" w:eastAsia="zh-CN" w:bidi="ar"/>
        </w:rPr>
        <w:t>月20日，累计出动车辆40台次，执法人员120人次，</w:t>
      </w:r>
      <w:r>
        <w:rPr>
          <w:rFonts w:hint="eastAsia" w:ascii="仿宋" w:hAnsi="仿宋" w:eastAsia="仿宋" w:cs="仿宋"/>
          <w:sz w:val="32"/>
          <w:szCs w:val="32"/>
          <w:lang w:val="en-US" w:eastAsia="zh-CN"/>
        </w:rPr>
        <w:t>依法办结医疗执业类别行政处罚案件14起，</w:t>
      </w:r>
      <w:r>
        <w:rPr>
          <w:rFonts w:hint="eastAsia" w:ascii="仿宋" w:hAnsi="仿宋" w:eastAsia="仿宋" w:cs="仿宋"/>
          <w:sz w:val="32"/>
          <w:szCs w:val="32"/>
        </w:rPr>
        <w:t>罚</w:t>
      </w:r>
      <w:r>
        <w:rPr>
          <w:rFonts w:hint="eastAsia" w:ascii="仿宋" w:hAnsi="仿宋" w:eastAsia="仿宋" w:cs="仿宋"/>
          <w:sz w:val="32"/>
          <w:szCs w:val="32"/>
          <w:lang w:val="en-US" w:eastAsia="zh-CN"/>
        </w:rPr>
        <w:t>没款项12.127万</w:t>
      </w:r>
      <w:r>
        <w:rPr>
          <w:rFonts w:hint="eastAsia" w:ascii="仿宋" w:hAnsi="仿宋" w:eastAsia="仿宋" w:cs="仿宋"/>
          <w:sz w:val="32"/>
          <w:szCs w:val="32"/>
        </w:rPr>
        <w:t>元</w:t>
      </w: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有力维护了公平有序的医疗服务市场环境。</w:t>
      </w:r>
    </w:p>
    <w:p>
      <w:pPr>
        <w:ind w:firstLine="640" w:firstLineChars="200"/>
        <w:rPr>
          <w:rFonts w:hint="default" w:ascii="仿宋" w:hAnsi="仿宋" w:eastAsia="仿宋" w:cs="仿宋"/>
          <w:b/>
          <w:bCs/>
          <w:sz w:val="32"/>
          <w:szCs w:val="32"/>
          <w:lang w:val="en-US" w:eastAsia="zh-CN"/>
        </w:rPr>
      </w:pPr>
      <w:r>
        <w:rPr>
          <w:rFonts w:hint="eastAsia" w:ascii="仿宋" w:hAnsi="仿宋" w:eastAsia="仿宋" w:cs="仿宋"/>
          <w:b/>
          <w:bCs/>
          <w:sz w:val="32"/>
          <w:szCs w:val="32"/>
          <w:lang w:val="en-US" w:eastAsia="zh-CN"/>
        </w:rPr>
        <w:t>b</w:t>
      </w:r>
      <w:r>
        <w:rPr>
          <w:rFonts w:hint="eastAsia" w:ascii="仿宋" w:hAnsi="仿宋" w:eastAsia="仿宋" w:cs="仿宋"/>
          <w:b/>
          <w:bCs/>
          <w:sz w:val="32"/>
          <w:szCs w:val="32"/>
        </w:rPr>
        <w:t>、</w:t>
      </w:r>
      <w:r>
        <w:rPr>
          <w:rFonts w:hint="eastAsia" w:ascii="仿宋" w:hAnsi="仿宋" w:eastAsia="仿宋" w:cs="仿宋"/>
          <w:b/>
          <w:bCs/>
          <w:sz w:val="32"/>
          <w:szCs w:val="32"/>
          <w:lang w:val="en-US" w:eastAsia="zh-CN"/>
        </w:rPr>
        <w:t>开展传染病防治监督工作</w:t>
      </w:r>
    </w:p>
    <w:p>
      <w:pPr>
        <w:ind w:firstLine="640" w:firstLineChars="200"/>
        <w:rPr>
          <w:rFonts w:hint="default" w:ascii="仿宋" w:hAnsi="仿宋" w:eastAsia="仿宋" w:cs="仿宋"/>
          <w:sz w:val="32"/>
          <w:szCs w:val="32"/>
          <w:lang w:val="en-US" w:eastAsia="zh-CN"/>
        </w:rPr>
      </w:pPr>
      <w:r>
        <w:rPr>
          <w:rFonts w:hint="eastAsia" w:ascii="仿宋" w:hAnsi="仿宋" w:eastAsia="仿宋"/>
          <w:sz w:val="32"/>
          <w:szCs w:val="32"/>
        </w:rPr>
        <w:t>通过</w:t>
      </w:r>
      <w:r>
        <w:rPr>
          <w:rFonts w:hint="eastAsia" w:ascii="仿宋" w:hAnsi="仿宋" w:eastAsia="仿宋"/>
          <w:sz w:val="32"/>
          <w:szCs w:val="32"/>
          <w:lang w:val="en-US" w:eastAsia="zh-CN"/>
        </w:rPr>
        <w:t>开展传染病防治</w:t>
      </w:r>
      <w:r>
        <w:rPr>
          <w:rFonts w:hint="eastAsia" w:ascii="仿宋" w:hAnsi="仿宋" w:eastAsia="仿宋"/>
          <w:sz w:val="32"/>
          <w:szCs w:val="32"/>
        </w:rPr>
        <w:t>专项监督检查，提升医疗机构的法律意识，</w:t>
      </w:r>
      <w:r>
        <w:rPr>
          <w:rFonts w:hint="eastAsia" w:ascii="仿宋" w:hAnsi="仿宋" w:eastAsia="仿宋"/>
          <w:sz w:val="32"/>
          <w:szCs w:val="32"/>
          <w:lang w:val="en-US" w:eastAsia="zh-CN"/>
        </w:rPr>
        <w:t>主要</w:t>
      </w:r>
      <w:r>
        <w:rPr>
          <w:rFonts w:hint="eastAsia" w:ascii="仿宋" w:hAnsi="仿宋" w:eastAsia="仿宋"/>
          <w:sz w:val="32"/>
          <w:szCs w:val="32"/>
        </w:rPr>
        <w:t>强化医医疗机构医疗废水处置的主体责任，</w:t>
      </w:r>
      <w:r>
        <w:rPr>
          <w:rFonts w:hint="eastAsia" w:ascii="仿宋" w:hAnsi="仿宋" w:eastAsia="仿宋"/>
          <w:sz w:val="32"/>
          <w:szCs w:val="32"/>
          <w:lang w:val="en-US" w:eastAsia="zh-CN"/>
        </w:rPr>
        <w:t>重点聚集</w:t>
      </w:r>
      <w:r>
        <w:rPr>
          <w:rFonts w:hint="eastAsia" w:ascii="仿宋" w:hAnsi="仿宋" w:eastAsia="仿宋"/>
          <w:sz w:val="32"/>
          <w:szCs w:val="32"/>
        </w:rPr>
        <w:t>医疗机构的医疗废物、废水</w:t>
      </w:r>
      <w:r>
        <w:rPr>
          <w:rFonts w:hint="eastAsia" w:ascii="仿宋" w:hAnsi="仿宋" w:eastAsia="仿宋"/>
          <w:sz w:val="32"/>
          <w:szCs w:val="32"/>
          <w:lang w:val="en-US" w:eastAsia="zh-CN"/>
        </w:rPr>
        <w:t>处置等关键环节</w:t>
      </w:r>
      <w:r>
        <w:rPr>
          <w:rFonts w:hint="eastAsia" w:ascii="仿宋" w:hAnsi="仿宋" w:eastAsia="仿宋"/>
          <w:sz w:val="32"/>
          <w:szCs w:val="32"/>
        </w:rPr>
        <w:t>，加强对重点单位</w:t>
      </w:r>
      <w:r>
        <w:rPr>
          <w:rFonts w:hint="eastAsia" w:ascii="仿宋" w:hAnsi="仿宋" w:eastAsia="仿宋"/>
          <w:sz w:val="32"/>
          <w:szCs w:val="32"/>
          <w:lang w:val="en-US" w:eastAsia="zh-CN"/>
        </w:rPr>
        <w:t>消毒管理方面等</w:t>
      </w:r>
      <w:r>
        <w:rPr>
          <w:rFonts w:hint="eastAsia" w:ascii="仿宋" w:hAnsi="仿宋" w:eastAsia="仿宋"/>
          <w:sz w:val="32"/>
          <w:szCs w:val="32"/>
        </w:rPr>
        <w:t>工作薄弱环节的监督检查。</w:t>
      </w:r>
      <w:r>
        <w:rPr>
          <w:rFonts w:hint="eastAsia" w:ascii="仿宋" w:hAnsi="仿宋" w:eastAsia="仿宋"/>
          <w:sz w:val="32"/>
          <w:szCs w:val="32"/>
          <w:lang w:val="en-US" w:eastAsia="zh-CN"/>
        </w:rPr>
        <w:t>全年累计出动车辆30台次，人员90人次，依法办结行政处罚案件12起，罚款3.3万元，进一步提高了医疗机构的医疗废物、废水规范化管理水平。</w:t>
      </w:r>
    </w:p>
    <w:p>
      <w:pPr>
        <w:ind w:firstLine="640" w:firstLineChars="200"/>
        <w:rPr>
          <w:rFonts w:hint="default" w:ascii="仿宋" w:hAnsi="仿宋" w:eastAsia="仿宋" w:cs="仿宋"/>
          <w:b/>
          <w:bCs/>
          <w:sz w:val="32"/>
          <w:szCs w:val="32"/>
          <w:lang w:val="en-US" w:eastAsia="zh-CN"/>
        </w:rPr>
      </w:pPr>
      <w:r>
        <w:rPr>
          <w:rFonts w:hint="eastAsia" w:ascii="仿宋" w:hAnsi="仿宋" w:eastAsia="仿宋" w:cs="仿宋"/>
          <w:b/>
          <w:bCs/>
          <w:sz w:val="32"/>
          <w:szCs w:val="32"/>
          <w:lang w:val="en-US" w:eastAsia="zh-CN"/>
        </w:rPr>
        <w:t>c</w:t>
      </w:r>
      <w:r>
        <w:rPr>
          <w:rFonts w:hint="eastAsia" w:ascii="仿宋" w:hAnsi="仿宋" w:eastAsia="仿宋" w:cs="仿宋"/>
          <w:b/>
          <w:bCs/>
          <w:sz w:val="32"/>
          <w:szCs w:val="32"/>
        </w:rPr>
        <w:t>、</w:t>
      </w:r>
      <w:r>
        <w:rPr>
          <w:rFonts w:hint="eastAsia" w:ascii="仿宋" w:hAnsi="仿宋" w:eastAsia="仿宋" w:cs="仿宋"/>
          <w:b/>
          <w:bCs/>
          <w:sz w:val="32"/>
          <w:szCs w:val="32"/>
          <w:lang w:val="en-US" w:eastAsia="zh-CN"/>
        </w:rPr>
        <w:t>开展退休乡村医生专项监督检查工作</w:t>
      </w:r>
    </w:p>
    <w:p>
      <w:pPr>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3月在全县范围内开展退休乡村医生专项检查。共出动卫生监督员50余人次，深入全县22个乡镇（街道），对上报的100余名重点人员（含60岁以上不再予以注册的老年村医和在册但未在审批地点执业人员）逐一进行现场核实。对15家退休村医家中尚有药品，但未发现行医证据的，当场下达卫生监督意见书，责令限期清理药品，消除农村地区医疗安全隐患。</w:t>
      </w:r>
    </w:p>
    <w:p>
      <w:pPr>
        <w:ind w:firstLine="640" w:firstLineChars="200"/>
        <w:rPr>
          <w:rFonts w:hint="eastAsia" w:ascii="仿宋" w:hAnsi="仿宋" w:eastAsia="仿宋" w:cs="仿宋"/>
          <w:b/>
          <w:bCs/>
          <w:sz w:val="32"/>
          <w:szCs w:val="32"/>
          <w:lang w:val="en-US" w:eastAsia="zh-CN"/>
        </w:rPr>
      </w:pPr>
      <w:r>
        <w:rPr>
          <w:rFonts w:hint="eastAsia" w:ascii="仿宋" w:hAnsi="仿宋" w:eastAsia="仿宋" w:cs="仿宋"/>
          <w:b/>
          <w:bCs/>
          <w:sz w:val="32"/>
          <w:szCs w:val="32"/>
          <w:lang w:val="en-US" w:eastAsia="zh-CN"/>
        </w:rPr>
        <w:t>d、开展卫生监督协管专项督查</w:t>
      </w:r>
    </w:p>
    <w:p>
      <w:pPr>
        <w:ind w:firstLine="640" w:firstLineChars="200"/>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为加强卫生监督协管服务规范化管理，提升基层卫生监督工作质量，我们与公共场所监督股一道于2025年5月对全县22家乡镇（社区）卫生院（卫生服务中心）的卫生监督协管工作进行了督查，通过查阅资料、现场检查等方式重点对巡查计划制定、巡查时间执行、巡查内容完整性、巡查记录规范性、问题发现能力、违法违规上报、资料归档管理等多方面进行了综合评估。同时对督查中发现的问题进行了通报。</w:t>
      </w:r>
    </w:p>
    <w:p>
      <w:pPr>
        <w:ind w:firstLine="640" w:firstLineChars="200"/>
        <w:rPr>
          <w:rFonts w:hint="eastAsia" w:ascii="仿宋" w:hAnsi="仿宋" w:eastAsia="仿宋" w:cs="仿宋"/>
          <w:b/>
          <w:bCs/>
          <w:sz w:val="32"/>
          <w:szCs w:val="32"/>
          <w:lang w:val="en-US" w:eastAsia="zh-CN"/>
        </w:rPr>
      </w:pPr>
      <w:r>
        <w:rPr>
          <w:rFonts w:hint="eastAsia" w:ascii="仿宋" w:hAnsi="仿宋" w:eastAsia="仿宋" w:cs="仿宋"/>
          <w:b/>
          <w:bCs/>
          <w:sz w:val="32"/>
          <w:szCs w:val="32"/>
          <w:lang w:val="en-US" w:eastAsia="zh-CN"/>
        </w:rPr>
        <w:t>e、开展养老机构医疗服务专项监督检查</w:t>
      </w:r>
    </w:p>
    <w:p>
      <w:pPr>
        <w:ind w:firstLine="640" w:firstLineChars="200"/>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2025年6月，我局对道县中医医院（北院）、道县康恩医院开展了养老机构医疗服务专项检查，重点排查机构是否依法取得医疗执业许可、是否配备专业技术人员等。两家机构在医疗服务资质、人员配备、服务开展等方面均符合相关规定要求。</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楷体" w:hAnsi="楷体" w:eastAsia="楷体" w:cs="楷体"/>
          <w:b/>
          <w:sz w:val="32"/>
          <w:szCs w:val="32"/>
          <w:lang w:val="en-US" w:eastAsia="zh-CN"/>
        </w:rPr>
      </w:pPr>
      <w:r>
        <w:rPr>
          <w:rFonts w:hint="eastAsia" w:ascii="楷体" w:hAnsi="楷体" w:eastAsia="楷体" w:cs="楷体"/>
          <w:b/>
          <w:sz w:val="32"/>
          <w:szCs w:val="32"/>
          <w:lang w:val="en-US" w:eastAsia="zh-CN"/>
        </w:rPr>
        <w:t>(6)加强职业卫生监督工作</w:t>
      </w:r>
    </w:p>
    <w:p>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20" w:lineRule="exact"/>
        <w:ind w:right="0" w:firstLine="640" w:firstLineChars="200"/>
        <w:jc w:val="left"/>
        <w:textAlignment w:val="auto"/>
        <w:rPr>
          <w:rFonts w:hint="eastAsia" w:ascii="仿宋" w:hAnsi="仿宋" w:eastAsia="仿宋" w:cs="仿宋"/>
          <w:kern w:val="2"/>
          <w:sz w:val="32"/>
          <w:szCs w:val="32"/>
          <w:lang w:val="en-US" w:eastAsia="zh-CN" w:bidi="ar-SA"/>
        </w:rPr>
      </w:pPr>
      <w:r>
        <w:rPr>
          <w:rFonts w:hint="eastAsia" w:ascii="仿宋" w:hAnsi="仿宋" w:eastAsia="仿宋" w:cs="仿宋"/>
          <w:b/>
          <w:bCs/>
          <w:kern w:val="2"/>
          <w:sz w:val="32"/>
          <w:szCs w:val="32"/>
          <w:lang w:val="en-US" w:eastAsia="zh-CN" w:bidi="ar-SA"/>
        </w:rPr>
        <w:t>a.开展职业病防治法宣传周活动 。</w:t>
      </w:r>
      <w:r>
        <w:rPr>
          <w:rFonts w:hint="eastAsia" w:ascii="仿宋" w:hAnsi="仿宋" w:eastAsia="仿宋" w:cs="仿宋"/>
          <w:kern w:val="2"/>
          <w:sz w:val="32"/>
          <w:szCs w:val="32"/>
          <w:lang w:val="en-US" w:eastAsia="zh-CN" w:bidi="ar-SA"/>
        </w:rPr>
        <w:t xml:space="preserve">在县卫健局领导下，联合卫生系统其他部门开展了以“关爱劳动者心理健康”为主题的《职业病治法》宣传周活动，进入2家企业、1所学校及敦颐广场开展了宣传活动，共设立宣传台4个，接受群众咨询2000余人次，发放宣传手册、折页等资料2万余份。 增强了企业责任意识和劳动者自我防护意识。 </w:t>
      </w:r>
    </w:p>
    <w:p>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20" w:lineRule="exact"/>
        <w:ind w:right="0" w:firstLine="640" w:firstLineChars="200"/>
        <w:jc w:val="left"/>
        <w:textAlignment w:val="auto"/>
        <w:rPr>
          <w:rFonts w:hint="eastAsia" w:ascii="仿宋" w:hAnsi="仿宋" w:eastAsia="仿宋" w:cs="仿宋"/>
          <w:kern w:val="2"/>
          <w:sz w:val="32"/>
          <w:szCs w:val="32"/>
          <w:lang w:val="en-US" w:eastAsia="zh-CN" w:bidi="ar-SA"/>
        </w:rPr>
      </w:pPr>
      <w:r>
        <w:rPr>
          <w:rFonts w:hint="eastAsia" w:ascii="仿宋" w:hAnsi="仿宋" w:eastAsia="仿宋" w:cs="仿宋"/>
          <w:b/>
          <w:bCs/>
          <w:kern w:val="2"/>
          <w:sz w:val="32"/>
          <w:szCs w:val="32"/>
          <w:lang w:val="en-US" w:eastAsia="zh-CN" w:bidi="ar-SA"/>
        </w:rPr>
        <w:t>b.加强用人单位职业卫生监督。</w:t>
      </w:r>
      <w:r>
        <w:rPr>
          <w:rFonts w:hint="eastAsia" w:ascii="仿宋" w:hAnsi="仿宋" w:eastAsia="仿宋" w:cs="仿宋"/>
          <w:kern w:val="2"/>
          <w:sz w:val="32"/>
          <w:szCs w:val="32"/>
          <w:lang w:val="en-US" w:eastAsia="zh-CN" w:bidi="ar-SA"/>
        </w:rPr>
        <w:t>制定了2025年职业卫生监督检查计划及涉企职业卫生行政检查事项清单，并报县政府批准同意。按照年初制定计划对辖区内用人单位的职业卫生管理情况及工作现场开展职业卫生监督，累计检查用人单位41家，覆盖矿山、化工、建材、制造等重点行业，下达监督意见书23份，责令整改企业8家，办理简易案件6起。</w:t>
      </w:r>
    </w:p>
    <w:p>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20" w:lineRule="exact"/>
        <w:ind w:right="0" w:firstLine="640" w:firstLineChars="200"/>
        <w:jc w:val="left"/>
        <w:textAlignment w:val="auto"/>
        <w:rPr>
          <w:rFonts w:hint="eastAsia"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 xml:space="preserve"> c</w:t>
      </w:r>
      <w:r>
        <w:rPr>
          <w:rFonts w:hint="eastAsia" w:ascii="仿宋" w:hAnsi="仿宋" w:eastAsia="仿宋" w:cs="仿宋"/>
          <w:b/>
          <w:bCs/>
          <w:kern w:val="2"/>
          <w:sz w:val="32"/>
          <w:szCs w:val="32"/>
          <w:lang w:val="en-US" w:eastAsia="zh-CN" w:bidi="ar-SA"/>
        </w:rPr>
        <w:t>.加强放射工作场所监督。</w:t>
      </w:r>
      <w:r>
        <w:rPr>
          <w:rFonts w:hint="eastAsia" w:ascii="仿宋" w:hAnsi="仿宋" w:eastAsia="仿宋" w:cs="仿宋"/>
          <w:kern w:val="2"/>
          <w:sz w:val="32"/>
          <w:szCs w:val="32"/>
          <w:lang w:val="en-US" w:eastAsia="zh-CN" w:bidi="ar-SA"/>
        </w:rPr>
        <w:t>按照《职业病防治法》、《放射诊疗管理规定》的相关要求，重点监督检查医疗机构放射卫生服务资质、设备与场所检测、防护管理制度落实、防护设施个人用品配备与使用、个人剂量监测与培训、警示标志与通风以及检维修等情况。全年检查放射使用单位6家。</w:t>
      </w:r>
    </w:p>
    <w:p>
      <w:pPr>
        <w:ind w:firstLine="640" w:firstLineChars="200"/>
        <w:rPr>
          <w:rFonts w:hint="eastAsia" w:ascii="仿宋" w:hAnsi="仿宋" w:eastAsia="仿宋" w:cs="仿宋"/>
          <w:sz w:val="32"/>
          <w:szCs w:val="32"/>
        </w:rPr>
      </w:pPr>
      <w:r>
        <w:rPr>
          <w:rFonts w:hint="eastAsia" w:ascii="楷体" w:hAnsi="楷体" w:eastAsia="楷体" w:cs="楷体"/>
          <w:b/>
          <w:bCs/>
          <w:sz w:val="32"/>
          <w:szCs w:val="32"/>
        </w:rPr>
        <w:t>（</w:t>
      </w:r>
      <w:r>
        <w:rPr>
          <w:rFonts w:hint="eastAsia" w:ascii="楷体" w:hAnsi="楷体" w:eastAsia="楷体" w:cs="楷体"/>
          <w:b/>
          <w:bCs/>
          <w:sz w:val="32"/>
          <w:szCs w:val="32"/>
          <w:lang w:val="en-US" w:eastAsia="zh-CN"/>
        </w:rPr>
        <w:t>7</w:t>
      </w:r>
      <w:r>
        <w:rPr>
          <w:rFonts w:hint="eastAsia" w:ascii="楷体" w:hAnsi="楷体" w:eastAsia="楷体" w:cs="楷体"/>
          <w:b/>
          <w:bCs/>
          <w:sz w:val="32"/>
          <w:szCs w:val="32"/>
        </w:rPr>
        <w:t>）强化队伍建设，夯实发展根基</w:t>
      </w:r>
      <w:r>
        <w:rPr>
          <w:rFonts w:hint="eastAsia" w:ascii="楷体" w:hAnsi="楷体" w:eastAsia="楷体" w:cs="楷体"/>
          <w:b/>
          <w:bCs/>
          <w:sz w:val="32"/>
          <w:szCs w:val="32"/>
          <w:lang w:eastAsia="zh-CN"/>
        </w:rPr>
        <w:t>。</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实施“执法能力提升工程”，组织开展</w:t>
      </w:r>
      <w:r>
        <w:rPr>
          <w:rFonts w:hint="eastAsia" w:ascii="仿宋" w:hAnsi="仿宋" w:eastAsia="仿宋" w:cs="仿宋"/>
          <w:sz w:val="32"/>
          <w:szCs w:val="32"/>
          <w:lang w:eastAsia="zh-CN"/>
        </w:rPr>
        <w:t>了全县传染病防治监督</w:t>
      </w:r>
      <w:r>
        <w:rPr>
          <w:rFonts w:hint="eastAsia" w:ascii="仿宋" w:hAnsi="仿宋" w:eastAsia="仿宋" w:cs="仿宋"/>
          <w:sz w:val="32"/>
          <w:szCs w:val="32"/>
        </w:rPr>
        <w:t>执法技能比武、案例研讨等活动</w:t>
      </w:r>
      <w:r>
        <w:rPr>
          <w:rFonts w:hint="eastAsia" w:ascii="仿宋" w:hAnsi="仿宋" w:eastAsia="仿宋" w:cs="仿宋"/>
          <w:sz w:val="32"/>
          <w:szCs w:val="32"/>
          <w:lang w:val="en-US" w:eastAsia="zh-CN"/>
        </w:rPr>
        <w:t>6</w:t>
      </w:r>
      <w:r>
        <w:rPr>
          <w:rFonts w:hint="eastAsia" w:ascii="仿宋" w:hAnsi="仿宋" w:eastAsia="仿宋" w:cs="仿宋"/>
          <w:sz w:val="32"/>
          <w:szCs w:val="32"/>
        </w:rPr>
        <w:t>场，</w:t>
      </w:r>
      <w:r>
        <w:rPr>
          <w:rFonts w:hint="eastAsia" w:ascii="仿宋" w:hAnsi="仿宋" w:eastAsia="仿宋" w:cs="仿宋"/>
          <w:color w:val="000000"/>
          <w:sz w:val="32"/>
          <w:szCs w:val="32"/>
        </w:rPr>
        <w:t>选派</w:t>
      </w:r>
      <w:r>
        <w:rPr>
          <w:rFonts w:hint="eastAsia" w:ascii="仿宋" w:hAnsi="仿宋" w:eastAsia="仿宋" w:cs="仿宋"/>
          <w:color w:val="000000"/>
          <w:sz w:val="32"/>
          <w:szCs w:val="32"/>
          <w:lang w:val="en-US" w:eastAsia="zh-CN"/>
        </w:rPr>
        <w:t>6</w:t>
      </w:r>
      <w:r>
        <w:rPr>
          <w:rFonts w:hint="eastAsia" w:ascii="仿宋" w:hAnsi="仿宋" w:eastAsia="仿宋" w:cs="仿宋"/>
          <w:color w:val="000000"/>
          <w:sz w:val="32"/>
          <w:szCs w:val="32"/>
        </w:rPr>
        <w:t>名骨干参加省市培训</w:t>
      </w:r>
      <w:r>
        <w:rPr>
          <w:rFonts w:hint="eastAsia" w:ascii="仿宋" w:hAnsi="仿宋" w:eastAsia="仿宋" w:cs="仿宋"/>
          <w:color w:val="000000"/>
          <w:sz w:val="32"/>
          <w:szCs w:val="32"/>
          <w:lang w:eastAsia="zh-CN"/>
        </w:rPr>
        <w:t>学习</w:t>
      </w:r>
      <w:r>
        <w:rPr>
          <w:rFonts w:hint="eastAsia" w:ascii="仿宋" w:hAnsi="仿宋" w:eastAsia="仿宋" w:cs="仿宋"/>
          <w:color w:val="000000"/>
          <w:sz w:val="32"/>
          <w:szCs w:val="32"/>
        </w:rPr>
        <w:t>。</w:t>
      </w:r>
      <w:r>
        <w:rPr>
          <w:rFonts w:hint="eastAsia" w:ascii="仿宋" w:hAnsi="仿宋" w:eastAsia="仿宋" w:cs="仿宋"/>
          <w:sz w:val="32"/>
          <w:szCs w:val="32"/>
        </w:rPr>
        <w:t>2025年，</w:t>
      </w:r>
      <w:r>
        <w:rPr>
          <w:rFonts w:hint="eastAsia" w:ascii="仿宋" w:hAnsi="仿宋" w:eastAsia="仿宋" w:cs="仿宋"/>
          <w:sz w:val="32"/>
          <w:szCs w:val="32"/>
          <w:lang w:eastAsia="zh-CN"/>
        </w:rPr>
        <w:t>全市传染病防治监督执法技能竞赛获三等奖</w:t>
      </w:r>
      <w:r>
        <w:rPr>
          <w:rFonts w:hint="eastAsia" w:ascii="仿宋" w:hAnsi="仿宋" w:eastAsia="仿宋" w:cs="仿宋"/>
          <w:sz w:val="32"/>
          <w:szCs w:val="32"/>
        </w:rPr>
        <w:t>。</w:t>
      </w:r>
    </w:p>
    <w:p>
      <w:pPr>
        <w:keepNext w:val="0"/>
        <w:keepLines w:val="0"/>
        <w:pageBreakBefore w:val="0"/>
        <w:widowControl w:val="0"/>
        <w:kinsoku/>
        <w:wordWrap/>
        <w:overflowPunct/>
        <w:topLinePunct w:val="0"/>
        <w:autoSpaceDE/>
        <w:autoSpaceDN/>
        <w:bidi w:val="0"/>
        <w:adjustRightInd/>
        <w:snapToGrid/>
        <w:spacing w:line="520" w:lineRule="exact"/>
        <w:textAlignment w:val="auto"/>
        <w:rPr>
          <w:rFonts w:hint="eastAsia" w:ascii="黑体" w:hAnsi="黑体" w:eastAsia="黑体" w:cs="黑体"/>
          <w:b w:val="0"/>
          <w:bCs w:val="0"/>
          <w:sz w:val="32"/>
          <w:szCs w:val="32"/>
        </w:rPr>
      </w:pPr>
    </w:p>
    <w:p>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320" w:firstLineChars="100"/>
        <w:textAlignment w:val="auto"/>
        <w:rPr>
          <w:rFonts w:hint="eastAsia" w:ascii="黑体" w:hAnsi="黑体" w:eastAsia="黑体" w:cs="黑体"/>
          <w:b w:val="0"/>
          <w:bCs w:val="0"/>
          <w:sz w:val="32"/>
          <w:szCs w:val="32"/>
          <w:lang w:val="en-US" w:eastAsia="zh-CN"/>
        </w:rPr>
      </w:pPr>
      <w:r>
        <w:rPr>
          <w:rFonts w:hint="eastAsia" w:ascii="黑体" w:hAnsi="黑体" w:eastAsia="黑体" w:cs="黑体"/>
          <w:b w:val="0"/>
          <w:bCs w:val="0"/>
          <w:sz w:val="32"/>
          <w:szCs w:val="32"/>
          <w:lang w:val="en-US" w:eastAsia="zh-CN"/>
        </w:rPr>
        <w:t>(二).压实政治责任，各项工作稳步推进</w:t>
      </w:r>
    </w:p>
    <w:p>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320" w:firstLineChars="100"/>
        <w:textAlignment w:val="auto"/>
        <w:rPr>
          <w:rFonts w:hint="default" w:ascii="黑体" w:hAnsi="黑体" w:eastAsia="黑体" w:cs="黑体"/>
          <w:b w:val="0"/>
          <w:bCs w:val="0"/>
          <w:sz w:val="32"/>
          <w:szCs w:val="32"/>
          <w:lang w:val="en-US" w:eastAsia="zh-CN"/>
        </w:rPr>
      </w:pPr>
      <w:r>
        <w:rPr>
          <w:rFonts w:hint="eastAsia" w:ascii="仿宋" w:hAnsi="仿宋" w:eastAsia="仿宋" w:cs="仿宋"/>
          <w:b/>
          <w:bCs/>
          <w:sz w:val="32"/>
          <w:szCs w:val="32"/>
          <w:lang w:val="en-US" w:eastAsia="zh-CN"/>
        </w:rPr>
        <w:t>1、</w:t>
      </w:r>
      <w:r>
        <w:rPr>
          <w:rFonts w:hint="eastAsia" w:ascii="仿宋" w:hAnsi="仿宋" w:eastAsia="仿宋" w:cs="仿宋"/>
          <w:b/>
          <w:bCs/>
          <w:sz w:val="32"/>
          <w:szCs w:val="32"/>
        </w:rPr>
        <w:t>强化政治理论学习</w:t>
      </w:r>
      <w:r>
        <w:rPr>
          <w:rFonts w:hint="eastAsia" w:ascii="仿宋" w:hAnsi="仿宋" w:eastAsia="仿宋" w:cs="仿宋"/>
          <w:b/>
          <w:bCs/>
          <w:sz w:val="32"/>
          <w:szCs w:val="32"/>
          <w:lang w:eastAsia="zh-CN"/>
        </w:rPr>
        <w:t>。</w:t>
      </w:r>
      <w:r>
        <w:rPr>
          <w:rFonts w:hint="eastAsia" w:ascii="仿宋" w:hAnsi="仿宋" w:eastAsia="仿宋" w:cs="仿宋"/>
          <w:sz w:val="32"/>
          <w:szCs w:val="32"/>
          <w:lang w:val="en-US" w:eastAsia="zh-CN"/>
        </w:rPr>
        <w:t>认真学习贯彻习近平新时代中国特色社会主义思想和党的二十大和二十届三中、四中全会精神，始终将学习贯彻落实习近平总书记重要讲话和指示批示精神作为“第一议题”，切实增强“四个意识”、坚定“四个自信”、捍卫“两个确立”、做到两个维护。全年组织开展理论学习</w:t>
      </w:r>
      <w:r>
        <w:rPr>
          <w:rFonts w:hint="eastAsia" w:ascii="仿宋" w:hAnsi="仿宋" w:eastAsia="仿宋" w:cs="仿宋"/>
          <w:color w:val="000000" w:themeColor="text1"/>
          <w:sz w:val="32"/>
          <w:szCs w:val="32"/>
          <w:lang w:val="en-US" w:eastAsia="zh-CN"/>
          <w14:textFill>
            <w14:solidFill>
              <w14:schemeClr w14:val="tx1"/>
            </w14:solidFill>
          </w14:textFill>
        </w:rPr>
        <w:t>12</w:t>
      </w:r>
      <w:r>
        <w:rPr>
          <w:rFonts w:hint="eastAsia" w:ascii="仿宋" w:hAnsi="仿宋" w:eastAsia="仿宋" w:cs="仿宋"/>
          <w:sz w:val="32"/>
          <w:szCs w:val="32"/>
          <w:lang w:val="en-US" w:eastAsia="zh-CN"/>
        </w:rPr>
        <w:t>次、第一议题学习</w:t>
      </w:r>
      <w:r>
        <w:rPr>
          <w:rFonts w:hint="eastAsia" w:ascii="仿宋" w:hAnsi="仿宋" w:eastAsia="仿宋" w:cs="仿宋"/>
          <w:color w:val="000000" w:themeColor="text1"/>
          <w:sz w:val="32"/>
          <w:szCs w:val="32"/>
          <w:lang w:val="en-US" w:eastAsia="zh-CN"/>
          <w14:textFill>
            <w14:solidFill>
              <w14:schemeClr w14:val="tx1"/>
            </w14:solidFill>
          </w14:textFill>
        </w:rPr>
        <w:t>20</w:t>
      </w:r>
      <w:r>
        <w:rPr>
          <w:rFonts w:hint="eastAsia" w:ascii="仿宋" w:hAnsi="仿宋" w:eastAsia="仿宋" w:cs="仿宋"/>
          <w:sz w:val="32"/>
          <w:szCs w:val="32"/>
          <w:lang w:val="en-US" w:eastAsia="zh-CN"/>
        </w:rPr>
        <w:t>次，开展学习研讨</w:t>
      </w:r>
      <w:r>
        <w:rPr>
          <w:rFonts w:hint="eastAsia" w:ascii="仿宋" w:hAnsi="仿宋" w:eastAsia="仿宋" w:cs="仿宋"/>
          <w:color w:val="000000" w:themeColor="text1"/>
          <w:sz w:val="32"/>
          <w:szCs w:val="32"/>
          <w:lang w:val="en-US" w:eastAsia="zh-CN"/>
          <w14:textFill>
            <w14:solidFill>
              <w14:schemeClr w14:val="tx1"/>
            </w14:solidFill>
          </w14:textFill>
        </w:rPr>
        <w:t>4</w:t>
      </w:r>
      <w:r>
        <w:rPr>
          <w:rFonts w:hint="eastAsia" w:ascii="仿宋" w:hAnsi="仿宋" w:eastAsia="仿宋" w:cs="仿宋"/>
          <w:sz w:val="32"/>
          <w:szCs w:val="32"/>
          <w:lang w:val="en-US" w:eastAsia="zh-CN"/>
        </w:rPr>
        <w:t>次。</w:t>
      </w:r>
    </w:p>
    <w:p>
      <w:pPr>
        <w:numPr>
          <w:ilvl w:val="0"/>
          <w:numId w:val="0"/>
        </w:numPr>
        <w:ind w:firstLine="320" w:firstLineChars="100"/>
        <w:jc w:val="left"/>
        <w:rPr>
          <w:rFonts w:hint="eastAsia" w:ascii="楷体" w:hAnsi="楷体" w:eastAsia="楷体" w:cs="楷体"/>
          <w:b/>
          <w:bCs w:val="0"/>
          <w:kern w:val="0"/>
          <w:sz w:val="32"/>
          <w:szCs w:val="32"/>
          <w:lang w:val="en-US" w:eastAsia="zh-CN"/>
        </w:rPr>
      </w:pPr>
      <w:r>
        <w:rPr>
          <w:rFonts w:hint="eastAsia" w:ascii="楷体" w:hAnsi="楷体" w:eastAsia="楷体" w:cs="楷体"/>
          <w:b/>
          <w:bCs w:val="0"/>
          <w:kern w:val="0"/>
          <w:sz w:val="32"/>
          <w:szCs w:val="32"/>
          <w:lang w:val="en-US" w:eastAsia="zh-CN"/>
        </w:rPr>
        <w:t>2、加强党风廉政建设。</w:t>
      </w:r>
    </w:p>
    <w:p>
      <w:pPr>
        <w:numPr>
          <w:ilvl w:val="0"/>
          <w:numId w:val="0"/>
        </w:numPr>
        <w:ind w:firstLine="320" w:firstLineChars="100"/>
        <w:jc w:val="left"/>
        <w:rPr>
          <w:rFonts w:hint="eastAsia" w:ascii="仿宋" w:hAnsi="仿宋" w:eastAsia="仿宋" w:cs="仿宋"/>
          <w:b w:val="0"/>
          <w:bCs/>
          <w:kern w:val="0"/>
          <w:sz w:val="32"/>
          <w:szCs w:val="32"/>
          <w:lang w:val="en-US" w:eastAsia="zh-CN"/>
        </w:rPr>
      </w:pPr>
      <w:r>
        <w:rPr>
          <w:rFonts w:hint="eastAsia" w:ascii="楷体" w:hAnsi="楷体" w:eastAsia="楷体" w:cs="楷体"/>
          <w:b/>
          <w:bCs w:val="0"/>
          <w:kern w:val="0"/>
          <w:sz w:val="32"/>
          <w:szCs w:val="32"/>
          <w:lang w:val="en-US" w:eastAsia="zh-CN"/>
        </w:rPr>
        <w:t>（1）、</w:t>
      </w:r>
      <w:r>
        <w:rPr>
          <w:rFonts w:hint="eastAsia" w:ascii="仿宋" w:hAnsi="仿宋" w:eastAsia="仿宋" w:cs="仿宋"/>
          <w:b/>
          <w:bCs w:val="0"/>
          <w:kern w:val="0"/>
          <w:sz w:val="32"/>
          <w:szCs w:val="32"/>
          <w:lang w:val="en-US" w:eastAsia="zh-CN"/>
        </w:rPr>
        <w:t>认真落实党风廉政建设责任制。</w:t>
      </w:r>
      <w:r>
        <w:rPr>
          <w:rFonts w:hint="eastAsia" w:ascii="仿宋" w:hAnsi="仿宋" w:eastAsia="仿宋" w:cs="仿宋"/>
          <w:b w:val="0"/>
          <w:bCs/>
          <w:kern w:val="0"/>
          <w:sz w:val="32"/>
          <w:szCs w:val="32"/>
          <w:lang w:val="en-US" w:eastAsia="zh-CN"/>
        </w:rPr>
        <w:t>支部书记、股长、工作人员层层签订了《党风廉政建设目标责任书》。形成了主要领导负总责，一级抓一级，上下协调，齐抓共管，全员参加的党风廉政建设工作格局。</w:t>
      </w:r>
    </w:p>
    <w:p>
      <w:pPr>
        <w:numPr>
          <w:ilvl w:val="0"/>
          <w:numId w:val="0"/>
        </w:numPr>
        <w:ind w:firstLine="320" w:firstLineChars="100"/>
        <w:jc w:val="left"/>
        <w:rPr>
          <w:rFonts w:hint="eastAsia" w:ascii="仿宋" w:hAnsi="仿宋" w:eastAsia="仿宋"/>
          <w:b/>
          <w:bCs/>
          <w:color w:val="auto"/>
          <w:sz w:val="32"/>
          <w:lang w:val="en-US" w:eastAsia="zh-CN"/>
        </w:rPr>
      </w:pPr>
      <w:r>
        <w:rPr>
          <w:rFonts w:hint="eastAsia" w:ascii="仿宋" w:hAnsi="仿宋" w:eastAsia="仿宋" w:cs="仿宋"/>
          <w:b/>
          <w:bCs w:val="0"/>
          <w:sz w:val="32"/>
          <w:szCs w:val="32"/>
          <w:lang w:val="en-US" w:eastAsia="zh-CN"/>
        </w:rPr>
        <w:t>（2）、深入开展党风廉政教育。</w:t>
      </w:r>
      <w:r>
        <w:rPr>
          <w:rFonts w:hint="eastAsia" w:ascii="仿宋" w:hAnsi="仿宋" w:eastAsia="仿宋" w:cs="仿宋"/>
          <w:b w:val="0"/>
          <w:bCs/>
          <w:sz w:val="32"/>
          <w:szCs w:val="32"/>
          <w:lang w:val="en-US" w:eastAsia="zh-CN"/>
        </w:rPr>
        <w:t>通过集中学习、</w:t>
      </w:r>
      <w:r>
        <w:rPr>
          <w:rFonts w:hint="eastAsia" w:ascii="仿宋" w:hAnsi="仿宋" w:eastAsia="仿宋"/>
          <w:color w:val="auto"/>
          <w:sz w:val="32"/>
          <w:lang w:val="en-US" w:eastAsia="zh-CN"/>
        </w:rPr>
        <w:t>清明祭英烈、观看警示教育片等多种方式、多种渠道，</w:t>
      </w:r>
      <w:r>
        <w:rPr>
          <w:rFonts w:hint="eastAsia" w:ascii="仿宋" w:hAnsi="仿宋" w:eastAsia="仿宋"/>
          <w:sz w:val="32"/>
          <w:lang w:val="en-US" w:eastAsia="zh-CN"/>
        </w:rPr>
        <w:t>加强对党员干部的理想信念、宗旨教育和党纪法规教育。</w:t>
      </w:r>
    </w:p>
    <w:p>
      <w:pPr>
        <w:numPr>
          <w:ilvl w:val="0"/>
          <w:numId w:val="0"/>
        </w:numPr>
        <w:ind w:firstLine="320" w:firstLineChars="100"/>
        <w:jc w:val="left"/>
        <w:rPr>
          <w:rFonts w:hint="eastAsia" w:ascii="仿宋" w:hAnsi="仿宋" w:eastAsia="仿宋" w:cs="仿宋"/>
          <w:sz w:val="32"/>
          <w:szCs w:val="32"/>
          <w:lang w:val="en-US" w:eastAsia="zh-CN"/>
        </w:rPr>
      </w:pPr>
      <w:r>
        <w:rPr>
          <w:rFonts w:hint="eastAsia" w:ascii="仿宋" w:hAnsi="仿宋" w:eastAsia="仿宋"/>
          <w:b/>
          <w:bCs/>
          <w:color w:val="auto"/>
          <w:sz w:val="32"/>
          <w:lang w:val="en-US" w:eastAsia="zh-CN"/>
        </w:rPr>
        <w:t>（3）、严格落实中央八项规定精神</w:t>
      </w:r>
      <w:r>
        <w:rPr>
          <w:rFonts w:hint="eastAsia" w:ascii="仿宋" w:hAnsi="仿宋" w:eastAsia="仿宋" w:cs="仿宋"/>
          <w:b/>
          <w:bCs/>
          <w:sz w:val="32"/>
          <w:szCs w:val="32"/>
          <w:lang w:val="en-US" w:eastAsia="zh-CN"/>
        </w:rPr>
        <w:t>。</w:t>
      </w:r>
      <w:r>
        <w:rPr>
          <w:rFonts w:hint="eastAsia" w:ascii="仿宋" w:hAnsi="仿宋" w:eastAsia="仿宋" w:cs="仿宋"/>
          <w:b w:val="0"/>
          <w:bCs w:val="0"/>
          <w:sz w:val="32"/>
          <w:szCs w:val="32"/>
          <w:lang w:val="en-US" w:eastAsia="zh-CN"/>
        </w:rPr>
        <w:t>2025年，深入开展贯彻中央八项规定精神学习教育，对照2个清单28项内容全面检视，排查整改问题10余项。开展警示教育4次，集中观看警示教育片2次，谈心谈话20余人次。</w:t>
      </w:r>
      <w:r>
        <w:rPr>
          <w:rFonts w:hint="eastAsia" w:ascii="仿宋" w:hAnsi="仿宋" w:eastAsia="仿宋" w:cs="仿宋"/>
          <w:sz w:val="32"/>
          <w:szCs w:val="32"/>
          <w:lang w:val="en-US" w:eastAsia="zh-CN"/>
        </w:rPr>
        <w:t>全体</w:t>
      </w:r>
      <w:r>
        <w:rPr>
          <w:rFonts w:hint="eastAsia" w:ascii="仿宋" w:hAnsi="仿宋" w:eastAsia="仿宋"/>
          <w:color w:val="auto"/>
          <w:sz w:val="32"/>
          <w:lang w:val="en-US" w:eastAsia="zh-CN"/>
        </w:rPr>
        <w:t>党员干部在思想上、精神上、信念上得到升华，时刻筑牢清廉防线，全年</w:t>
      </w:r>
      <w:r>
        <w:rPr>
          <w:rFonts w:hint="eastAsia" w:ascii="仿宋" w:hAnsi="仿宋" w:eastAsia="仿宋" w:cs="仿宋"/>
          <w:sz w:val="32"/>
          <w:szCs w:val="32"/>
          <w:lang w:val="en-US" w:eastAsia="zh-CN"/>
        </w:rPr>
        <w:t>未因违纪违法受到党纪政务处分。</w:t>
      </w:r>
    </w:p>
    <w:p>
      <w:pPr>
        <w:pStyle w:val="2"/>
        <w:rPr>
          <w:rFonts w:hint="eastAsia" w:ascii="仿宋" w:hAnsi="仿宋" w:eastAsia="仿宋" w:cs="仿宋"/>
          <w:sz w:val="32"/>
          <w:szCs w:val="32"/>
          <w:lang w:val="en-US" w:eastAsia="zh-CN"/>
        </w:rPr>
      </w:pPr>
    </w:p>
    <w:p>
      <w:pPr>
        <w:pStyle w:val="3"/>
        <w:rPr>
          <w:rFonts w:hint="eastAsia"/>
          <w:lang w:val="en-US" w:eastAsia="zh-CN"/>
        </w:rPr>
      </w:pPr>
    </w:p>
    <w:p>
      <w:pPr>
        <w:spacing w:line="570" w:lineRule="exact"/>
        <w:ind w:firstLine="640" w:firstLineChars="200"/>
        <w:rPr>
          <w:rFonts w:eastAsia="仿宋_GB2312"/>
          <w:color w:val="000000"/>
          <w:sz w:val="32"/>
          <w:szCs w:val="32"/>
        </w:rPr>
      </w:pPr>
    </w:p>
    <w:p>
      <w:pPr>
        <w:pStyle w:val="15"/>
        <w:spacing w:line="570" w:lineRule="exact"/>
        <w:ind w:firstLine="640"/>
        <w:rPr>
          <w:rFonts w:ascii="Times New Roman" w:hAnsi="Times New Roman" w:eastAsia="黑体"/>
          <w:sz w:val="32"/>
          <w:szCs w:val="32"/>
        </w:rPr>
      </w:pPr>
      <w:r>
        <w:rPr>
          <w:rFonts w:ascii="Times New Roman" w:hAnsi="Times New Roman" w:eastAsia="黑体"/>
          <w:sz w:val="32"/>
          <w:szCs w:val="32"/>
        </w:rPr>
        <w:t>七、存在的问题及原因分析</w:t>
      </w:r>
    </w:p>
    <w:p>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320" w:firstLineChars="100"/>
        <w:textAlignment w:val="auto"/>
        <w:rPr>
          <w:rFonts w:hint="eastAsia"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（一）工作任务重、工作量大，卫生监督执法人员少，无法满足工作的需要。</w:t>
      </w:r>
    </w:p>
    <w:p>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320" w:firstLineChars="100"/>
        <w:textAlignment w:val="auto"/>
        <w:rPr>
          <w:rFonts w:hint="eastAsia"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（二）公共场所“四小”行业监管难度大。县城区内506家公共场所单位，其中“四小“行业居多，卫生条件较差，基础设施落后，管理制度不健全，经营业主个人素质不强等因素。</w:t>
      </w:r>
    </w:p>
    <w:p>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320" w:firstLineChars="100"/>
        <w:textAlignment w:val="auto"/>
        <w:rPr>
          <w:rFonts w:hint="eastAsia"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（三）部分学校管理制度落实不到位，自备水源和二次供水存在安全隐患，桶装水管理不到位。</w:t>
      </w:r>
    </w:p>
    <w:p>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320" w:firstLineChars="100"/>
        <w:textAlignment w:val="auto"/>
        <w:rPr>
          <w:rFonts w:hint="default"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（四）部分被监督检查单位没有建立消毒产品进货检查查验制度、索取消毒产品生产企业卫生许可证、检测报告不齐全。</w:t>
      </w:r>
    </w:p>
    <w:p>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320" w:firstLineChars="100"/>
        <w:textAlignment w:val="auto"/>
        <w:rPr>
          <w:rFonts w:hint="eastAsia"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五）当前，人民群众对于医疗安全的期待不断提升。一旦发生医疗安全事故，社会舆论中容易出现“监管部门不作为、监管不到位”等声音，容易促使纪检监察部门对医疗监督工作高度关注。执法人员只能时刻绷紧着神经，承受着巨大的心理压力。</w:t>
      </w:r>
    </w:p>
    <w:p>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320" w:firstLineChars="100"/>
        <w:textAlignment w:val="auto"/>
        <w:rPr>
          <w:rFonts w:hint="eastAsia" w:ascii="仿宋" w:hAnsi="仿宋" w:eastAsia="仿宋"/>
          <w:sz w:val="32"/>
          <w:szCs w:val="32"/>
          <w:lang w:val="en-US" w:eastAsia="zh-CN"/>
        </w:rPr>
      </w:pPr>
      <w:r>
        <w:rPr>
          <w:rFonts w:hint="eastAsia" w:ascii="仿宋" w:hAnsi="仿宋" w:eastAsia="仿宋" w:cs="仿宋"/>
          <w:kern w:val="2"/>
          <w:sz w:val="32"/>
          <w:szCs w:val="32"/>
          <w:lang w:val="en-US" w:eastAsia="zh-CN" w:bidi="ar-SA"/>
        </w:rPr>
        <w:t>（六）部分中小企业主体责任意识薄弱，职业健康管理流于形式，存在未指定职业卫生管理年度计划、未按规定进行工作场所职业病危害因素检测、未按规定组织职业健康检查、防护用品未按规定发放、工作场所未设置警示标识等问题</w:t>
      </w:r>
      <w:r>
        <w:rPr>
          <w:rFonts w:hint="eastAsia" w:ascii="仿宋" w:hAnsi="仿宋" w:eastAsia="仿宋"/>
          <w:sz w:val="32"/>
          <w:szCs w:val="32"/>
          <w:lang w:val="en-US" w:eastAsia="zh-CN"/>
        </w:rPr>
        <w:t>。</w:t>
      </w:r>
    </w:p>
    <w:p>
      <w:pPr>
        <w:spacing w:line="570" w:lineRule="exact"/>
        <w:ind w:firstLine="640" w:firstLineChars="200"/>
        <w:rPr>
          <w:rFonts w:eastAsia="仿宋_GB2312"/>
          <w:sz w:val="32"/>
          <w:szCs w:val="32"/>
        </w:rPr>
      </w:pPr>
    </w:p>
    <w:p>
      <w:pPr>
        <w:numPr>
          <w:ilvl w:val="0"/>
          <w:numId w:val="2"/>
        </w:numPr>
        <w:spacing w:line="570" w:lineRule="exact"/>
        <w:ind w:firstLine="640" w:firstLineChars="200"/>
        <w:rPr>
          <w:rFonts w:eastAsia="黑体"/>
          <w:sz w:val="32"/>
          <w:szCs w:val="32"/>
        </w:rPr>
      </w:pPr>
      <w:r>
        <w:rPr>
          <w:rFonts w:eastAsia="黑体"/>
          <w:sz w:val="32"/>
          <w:szCs w:val="32"/>
        </w:rPr>
        <w:t>下一步改进措施</w:t>
      </w:r>
    </w:p>
    <w:p>
      <w:pPr>
        <w:pStyle w:val="2"/>
        <w:ind w:firstLine="320" w:firstLineChars="1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一）加强政治理论学习，提升政治素养。持续加强习近平新时代中国特色社会主义思想的学习，坚持学深悟透、融会贯通，不断提高政治判断力、政治领悟力、政治执行力。紧密结合卫生监督工作实际，加强调查研究，着力破解工作难题。</w:t>
      </w:r>
    </w:p>
    <w:p>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320" w:firstLineChars="100"/>
        <w:textAlignment w:val="auto"/>
        <w:rPr>
          <w:rFonts w:hint="eastAsia"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（二）加强卫生监督员专业技术和业务水平的培训，提高卫生监督队伍素质和执法办案能力。</w:t>
      </w:r>
    </w:p>
    <w:p>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320" w:firstLineChars="100"/>
        <w:textAlignment w:val="auto"/>
        <w:rPr>
          <w:rFonts w:hint="eastAsia"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（三）加强部门沟通协调作用，及时反馈督促检查中发现的问题，加大监督巡查力度，力求把工作做细做实。</w:t>
      </w:r>
    </w:p>
    <w:p>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320" w:firstLineChars="100"/>
        <w:textAlignment w:val="auto"/>
        <w:rPr>
          <w:rFonts w:hint="eastAsia"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（四）不断强化监管措施，提高监管效能，继续做好公共场所卫生、生活饮用水卫生、学校卫生、职业卫生、传染病防治、医疗机构依法执业和消毒产品监督执法工作。</w:t>
      </w:r>
    </w:p>
    <w:p>
      <w:pPr>
        <w:pStyle w:val="14"/>
        <w:ind w:firstLine="1280" w:firstLineChars="400"/>
        <w:rPr>
          <w:rFonts w:ascii="Times New Roman" w:hAnsi="Times New Roman" w:eastAsia="仿宋_GB2312" w:cs="Times New Roman"/>
          <w:sz w:val="32"/>
          <w:szCs w:val="32"/>
        </w:rPr>
      </w:pPr>
    </w:p>
    <w:p>
      <w:pPr>
        <w:pStyle w:val="14"/>
        <w:spacing w:line="600" w:lineRule="exact"/>
        <w:ind w:firstLine="640" w:firstLineChars="200"/>
        <w:rPr>
          <w:rFonts w:ascii="Times New Roman" w:hAnsi="Times New Roman" w:eastAsia="仿宋_GB2312" w:cs="Times New Roman"/>
          <w:sz w:val="32"/>
          <w:szCs w:val="32"/>
        </w:rPr>
      </w:pPr>
    </w:p>
    <w:p>
      <w:pPr>
        <w:pStyle w:val="14"/>
        <w:jc w:val="center"/>
        <w:rPr>
          <w:rFonts w:ascii="Times New Roman" w:hAnsi="Times New Roman" w:cs="Times New Roman"/>
          <w:sz w:val="72"/>
          <w:szCs w:val="72"/>
        </w:rPr>
      </w:pPr>
    </w:p>
    <w:p>
      <w:pPr>
        <w:pStyle w:val="14"/>
        <w:jc w:val="center"/>
        <w:rPr>
          <w:rFonts w:ascii="Times New Roman" w:hAnsi="Times New Roman" w:cs="Times New Roman"/>
          <w:sz w:val="72"/>
          <w:szCs w:val="72"/>
        </w:rPr>
      </w:pPr>
    </w:p>
    <w:p>
      <w:pPr>
        <w:jc w:val="left"/>
        <w:rPr>
          <w:rFonts w:ascii="Times New Roman" w:hAnsi="Times New Roman" w:cs="Times New Roman"/>
          <w:color w:val="000000"/>
          <w:kern w:val="0"/>
          <w:sz w:val="32"/>
          <w:szCs w:val="32"/>
        </w:rPr>
      </w:pPr>
    </w:p>
    <w:sectPr>
      <w:pgSz w:w="11906" w:h="16838"/>
      <w:pgMar w:top="1417" w:right="1588" w:bottom="1417" w:left="1588" w:header="851" w:footer="992" w:gutter="0"/>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3000509000000000000"/>
    <w:charset w:val="86"/>
    <w:family w:val="auto"/>
    <w:pitch w:val="default"/>
    <w:sig w:usb0="00000001" w:usb1="080E0000" w:usb2="00000000" w:usb3="00000000" w:csb0="00040000" w:csb1="00000000"/>
  </w:font>
  <w:font w:name="方正小标宋_GBK">
    <w:altName w:val="微软雅黑"/>
    <w:panose1 w:val="03000509000000000000"/>
    <w:charset w:val="86"/>
    <w:family w:val="script"/>
    <w:pitch w:val="default"/>
    <w:sig w:usb0="00000000" w:usb1="0000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华文中宋">
    <w:altName w:val="宋体"/>
    <w:panose1 w:val="02010600040101010101"/>
    <w:charset w:val="86"/>
    <w:family w:val="auto"/>
    <w:pitch w:val="default"/>
    <w:sig w:usb0="00000000" w:usb1="00000000" w:usb2="00000000" w:usb3="00000000" w:csb0="0004009F" w:csb1="DFD70000"/>
  </w:font>
  <w:font w:name="楷体_GB2312">
    <w:panose1 w:val="02010609030101010101"/>
    <w:charset w:val="86"/>
    <w:family w:val="modern"/>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6"/>
                          </w:pPr>
                          <w:r>
                            <w:fldChar w:fldCharType="begin"/>
                          </w:r>
                          <w:r>
                            <w:instrText xml:space="preserve"> PAGE  \* MERGEFORMAT </w:instrText>
                          </w:r>
                          <w:r>
                            <w:fldChar w:fldCharType="separate"/>
                          </w:r>
                          <w:r>
                            <w:t>20</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9j2DAsAgAAV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r2PYMCwCAABVBAAADgAAAAAAAAABACAAAAAfAQAAZHJzL2Uyb0RvYy54bWxQSwUGAAAAAAYA&#10;BgBZAQAAvQUAAAAA&#10;">
              <v:fill on="f" focussize="0,0"/>
              <v:stroke on="f" weight="0.5pt"/>
              <v:imagedata o:title=""/>
              <o:lock v:ext="edit" aspectratio="f"/>
              <v:textbox inset="0mm,0mm,0mm,0mm" style="mso-fit-shape-to-text:t;">
                <w:txbxContent>
                  <w:p>
                    <w:pPr>
                      <w:pStyle w:val="6"/>
                    </w:pPr>
                    <w:r>
                      <w:fldChar w:fldCharType="begin"/>
                    </w:r>
                    <w:r>
                      <w:instrText xml:space="preserve"> PAGE  \* MERGEFORMAT </w:instrText>
                    </w:r>
                    <w:r>
                      <w:fldChar w:fldCharType="separate"/>
                    </w:r>
                    <w:r>
                      <w:t>20</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786BFB6"/>
    <w:multiLevelType w:val="singleLevel"/>
    <w:tmpl w:val="4786BFB6"/>
    <w:lvl w:ilvl="0" w:tentative="0">
      <w:start w:val="8"/>
      <w:numFmt w:val="chineseCounting"/>
      <w:suff w:val="nothing"/>
      <w:lvlText w:val="%1、"/>
      <w:lvlJc w:val="left"/>
      <w:rPr>
        <w:rFonts w:hint="eastAsia"/>
      </w:rPr>
    </w:lvl>
  </w:abstractNum>
  <w:abstractNum w:abstractNumId="1">
    <w:nsid w:val="5DD5F104"/>
    <w:multiLevelType w:val="singleLevel"/>
    <w:tmpl w:val="5DD5F104"/>
    <w:lvl w:ilvl="0" w:tentative="0">
      <w:start w:val="2"/>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8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mU5ZWU0YzczYzJkMDE3YjZmMDc5NDdmMGMyNzhjNDYifQ=="/>
  </w:docVars>
  <w:rsids>
    <w:rsidRoot w:val="004506F9"/>
    <w:rsid w:val="0000001A"/>
    <w:rsid w:val="0002229B"/>
    <w:rsid w:val="000273BD"/>
    <w:rsid w:val="0003620C"/>
    <w:rsid w:val="00040CBC"/>
    <w:rsid w:val="000415B7"/>
    <w:rsid w:val="00041E3F"/>
    <w:rsid w:val="00055DAA"/>
    <w:rsid w:val="00061F7B"/>
    <w:rsid w:val="000658A3"/>
    <w:rsid w:val="00074155"/>
    <w:rsid w:val="00080785"/>
    <w:rsid w:val="000A3F69"/>
    <w:rsid w:val="000B20F1"/>
    <w:rsid w:val="000C5742"/>
    <w:rsid w:val="00103957"/>
    <w:rsid w:val="00152C6D"/>
    <w:rsid w:val="00162D39"/>
    <w:rsid w:val="001678BD"/>
    <w:rsid w:val="00182373"/>
    <w:rsid w:val="001A67DB"/>
    <w:rsid w:val="001B67D1"/>
    <w:rsid w:val="001C3C29"/>
    <w:rsid w:val="001D2B79"/>
    <w:rsid w:val="001D51E5"/>
    <w:rsid w:val="001E080D"/>
    <w:rsid w:val="001E53D0"/>
    <w:rsid w:val="001F0C3B"/>
    <w:rsid w:val="00202C82"/>
    <w:rsid w:val="00214427"/>
    <w:rsid w:val="00220689"/>
    <w:rsid w:val="00221AFD"/>
    <w:rsid w:val="00226CB7"/>
    <w:rsid w:val="00252450"/>
    <w:rsid w:val="00264552"/>
    <w:rsid w:val="00264EF9"/>
    <w:rsid w:val="00265724"/>
    <w:rsid w:val="0027426B"/>
    <w:rsid w:val="00296D60"/>
    <w:rsid w:val="002E0A30"/>
    <w:rsid w:val="0030077D"/>
    <w:rsid w:val="003130C4"/>
    <w:rsid w:val="00316C4B"/>
    <w:rsid w:val="0032192B"/>
    <w:rsid w:val="0033283E"/>
    <w:rsid w:val="003479BD"/>
    <w:rsid w:val="0037197D"/>
    <w:rsid w:val="003768D5"/>
    <w:rsid w:val="003926B9"/>
    <w:rsid w:val="003C2E17"/>
    <w:rsid w:val="003C47E6"/>
    <w:rsid w:val="003C4FC2"/>
    <w:rsid w:val="00401F9A"/>
    <w:rsid w:val="00416E61"/>
    <w:rsid w:val="0042790C"/>
    <w:rsid w:val="004506F9"/>
    <w:rsid w:val="00462315"/>
    <w:rsid w:val="004717A2"/>
    <w:rsid w:val="00473DF3"/>
    <w:rsid w:val="00487911"/>
    <w:rsid w:val="00490F48"/>
    <w:rsid w:val="00491741"/>
    <w:rsid w:val="004B0CEE"/>
    <w:rsid w:val="004C2A0A"/>
    <w:rsid w:val="004F5EFB"/>
    <w:rsid w:val="00500E5F"/>
    <w:rsid w:val="005122EF"/>
    <w:rsid w:val="0051441A"/>
    <w:rsid w:val="00517C33"/>
    <w:rsid w:val="00517D5F"/>
    <w:rsid w:val="00523644"/>
    <w:rsid w:val="0054069E"/>
    <w:rsid w:val="00544866"/>
    <w:rsid w:val="00552A3D"/>
    <w:rsid w:val="00574CC8"/>
    <w:rsid w:val="005767CC"/>
    <w:rsid w:val="00590D9F"/>
    <w:rsid w:val="00595D26"/>
    <w:rsid w:val="005A74E6"/>
    <w:rsid w:val="005B404E"/>
    <w:rsid w:val="005D4D55"/>
    <w:rsid w:val="005E0E6C"/>
    <w:rsid w:val="005E2CFB"/>
    <w:rsid w:val="005F2103"/>
    <w:rsid w:val="005F3D1C"/>
    <w:rsid w:val="005F4189"/>
    <w:rsid w:val="006171EE"/>
    <w:rsid w:val="0062378F"/>
    <w:rsid w:val="00641842"/>
    <w:rsid w:val="00651EEC"/>
    <w:rsid w:val="00686673"/>
    <w:rsid w:val="00691E8C"/>
    <w:rsid w:val="006A22C4"/>
    <w:rsid w:val="006A351B"/>
    <w:rsid w:val="006B0422"/>
    <w:rsid w:val="006C1B53"/>
    <w:rsid w:val="006D7730"/>
    <w:rsid w:val="006E5284"/>
    <w:rsid w:val="006F3EB5"/>
    <w:rsid w:val="006F56C8"/>
    <w:rsid w:val="00702E34"/>
    <w:rsid w:val="00704395"/>
    <w:rsid w:val="00710FE7"/>
    <w:rsid w:val="00717621"/>
    <w:rsid w:val="00720FF1"/>
    <w:rsid w:val="00727A53"/>
    <w:rsid w:val="007502DE"/>
    <w:rsid w:val="00787B42"/>
    <w:rsid w:val="007C4539"/>
    <w:rsid w:val="007F3657"/>
    <w:rsid w:val="00810F0C"/>
    <w:rsid w:val="00811AA2"/>
    <w:rsid w:val="00812ED5"/>
    <w:rsid w:val="008277D9"/>
    <w:rsid w:val="0084478C"/>
    <w:rsid w:val="0086638C"/>
    <w:rsid w:val="008764FA"/>
    <w:rsid w:val="008A1079"/>
    <w:rsid w:val="008A3E8D"/>
    <w:rsid w:val="008A5055"/>
    <w:rsid w:val="008D17F4"/>
    <w:rsid w:val="009237C4"/>
    <w:rsid w:val="00944C48"/>
    <w:rsid w:val="00950252"/>
    <w:rsid w:val="00967F5D"/>
    <w:rsid w:val="009A0F95"/>
    <w:rsid w:val="009B3ADF"/>
    <w:rsid w:val="009C31C5"/>
    <w:rsid w:val="009C3B52"/>
    <w:rsid w:val="009E6817"/>
    <w:rsid w:val="009E6E9A"/>
    <w:rsid w:val="00A01D2B"/>
    <w:rsid w:val="00A1392A"/>
    <w:rsid w:val="00A42218"/>
    <w:rsid w:val="00A70249"/>
    <w:rsid w:val="00A70B02"/>
    <w:rsid w:val="00A71D9F"/>
    <w:rsid w:val="00A92E9F"/>
    <w:rsid w:val="00AB18FF"/>
    <w:rsid w:val="00B26269"/>
    <w:rsid w:val="00B33BEA"/>
    <w:rsid w:val="00B57C9F"/>
    <w:rsid w:val="00B63572"/>
    <w:rsid w:val="00B845B3"/>
    <w:rsid w:val="00B85D8B"/>
    <w:rsid w:val="00BB4A40"/>
    <w:rsid w:val="00BD6022"/>
    <w:rsid w:val="00BD6C3E"/>
    <w:rsid w:val="00BE3674"/>
    <w:rsid w:val="00C10681"/>
    <w:rsid w:val="00C10822"/>
    <w:rsid w:val="00C15C89"/>
    <w:rsid w:val="00C27C0D"/>
    <w:rsid w:val="00C3049A"/>
    <w:rsid w:val="00C31B1E"/>
    <w:rsid w:val="00C32F2E"/>
    <w:rsid w:val="00C73888"/>
    <w:rsid w:val="00C77645"/>
    <w:rsid w:val="00CE04C3"/>
    <w:rsid w:val="00CE34BE"/>
    <w:rsid w:val="00CE76A0"/>
    <w:rsid w:val="00D148C6"/>
    <w:rsid w:val="00D17A8A"/>
    <w:rsid w:val="00D415BA"/>
    <w:rsid w:val="00D63780"/>
    <w:rsid w:val="00D644EE"/>
    <w:rsid w:val="00DD06FF"/>
    <w:rsid w:val="00DD5FE9"/>
    <w:rsid w:val="00E00C7A"/>
    <w:rsid w:val="00E37D6C"/>
    <w:rsid w:val="00E55B68"/>
    <w:rsid w:val="00E561AE"/>
    <w:rsid w:val="00E67BE6"/>
    <w:rsid w:val="00E8683C"/>
    <w:rsid w:val="00EA2B72"/>
    <w:rsid w:val="00F74360"/>
    <w:rsid w:val="00FB462F"/>
    <w:rsid w:val="00FE16FA"/>
    <w:rsid w:val="00FE328A"/>
    <w:rsid w:val="00FE6269"/>
    <w:rsid w:val="00FF5CD6"/>
    <w:rsid w:val="04CE2A73"/>
    <w:rsid w:val="082B2F2B"/>
    <w:rsid w:val="08925AA9"/>
    <w:rsid w:val="09DE3D5A"/>
    <w:rsid w:val="1D97DEFF"/>
    <w:rsid w:val="1DFF72E5"/>
    <w:rsid w:val="1EFC6F07"/>
    <w:rsid w:val="23E76EA7"/>
    <w:rsid w:val="2D3B3628"/>
    <w:rsid w:val="2FDF85B8"/>
    <w:rsid w:val="2FFFEE04"/>
    <w:rsid w:val="34DF85B0"/>
    <w:rsid w:val="34ED5767"/>
    <w:rsid w:val="3B8F36BC"/>
    <w:rsid w:val="411C125B"/>
    <w:rsid w:val="42FE3D1A"/>
    <w:rsid w:val="453E4F61"/>
    <w:rsid w:val="491FF225"/>
    <w:rsid w:val="4D6245D3"/>
    <w:rsid w:val="4F4D4607"/>
    <w:rsid w:val="4FFD214C"/>
    <w:rsid w:val="5777D4F5"/>
    <w:rsid w:val="59DD8326"/>
    <w:rsid w:val="5DEF592A"/>
    <w:rsid w:val="5FC6BB1E"/>
    <w:rsid w:val="5FF720F1"/>
    <w:rsid w:val="637F2037"/>
    <w:rsid w:val="65E02F63"/>
    <w:rsid w:val="67FF5C0B"/>
    <w:rsid w:val="6EFC0924"/>
    <w:rsid w:val="6FB74722"/>
    <w:rsid w:val="6FEF8B7E"/>
    <w:rsid w:val="71A6591B"/>
    <w:rsid w:val="737D59BA"/>
    <w:rsid w:val="737E4FBA"/>
    <w:rsid w:val="765F0ED4"/>
    <w:rsid w:val="77BB42B2"/>
    <w:rsid w:val="77C37683"/>
    <w:rsid w:val="78201FDE"/>
    <w:rsid w:val="79D19834"/>
    <w:rsid w:val="79FF515B"/>
    <w:rsid w:val="7BF549BF"/>
    <w:rsid w:val="7E9E1962"/>
    <w:rsid w:val="7E9F11B4"/>
    <w:rsid w:val="7F37EC1E"/>
    <w:rsid w:val="7F7DCD9D"/>
    <w:rsid w:val="7F970A6F"/>
    <w:rsid w:val="7FC1FFF3"/>
    <w:rsid w:val="7FC69637"/>
    <w:rsid w:val="7FDF8620"/>
    <w:rsid w:val="7FE8C8F7"/>
    <w:rsid w:val="7FFB242F"/>
    <w:rsid w:val="7FFDB408"/>
    <w:rsid w:val="7FFE4EEB"/>
    <w:rsid w:val="95FB2B98"/>
    <w:rsid w:val="9A639BC2"/>
    <w:rsid w:val="9BFA491D"/>
    <w:rsid w:val="9FF7D786"/>
    <w:rsid w:val="ABBFB23D"/>
    <w:rsid w:val="B6AFFE39"/>
    <w:rsid w:val="C3B4DA5A"/>
    <w:rsid w:val="CBFF70E0"/>
    <w:rsid w:val="CFF50B82"/>
    <w:rsid w:val="CFFFAD89"/>
    <w:rsid w:val="DFFE359E"/>
    <w:rsid w:val="DFFE4FFD"/>
    <w:rsid w:val="EEABED75"/>
    <w:rsid w:val="F56FDF51"/>
    <w:rsid w:val="F6B69F17"/>
    <w:rsid w:val="F77F1D61"/>
    <w:rsid w:val="F7FED3A9"/>
    <w:rsid w:val="F8C9DB26"/>
    <w:rsid w:val="F97E8EAE"/>
    <w:rsid w:val="FB36E1A6"/>
    <w:rsid w:val="FB3BE134"/>
    <w:rsid w:val="FCFF4275"/>
    <w:rsid w:val="FD7FEEEA"/>
    <w:rsid w:val="FDFFB577"/>
    <w:rsid w:val="FEEA50FE"/>
    <w:rsid w:val="FF7D47A9"/>
    <w:rsid w:val="FF7F63BE"/>
    <w:rsid w:val="FFCF21CB"/>
    <w:rsid w:val="FFFF1C8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11">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2">
    <w:name w:val="Body Text"/>
    <w:basedOn w:val="1"/>
    <w:next w:val="3"/>
    <w:qFormat/>
    <w:uiPriority w:val="0"/>
    <w:pPr>
      <w:spacing w:after="120"/>
    </w:pPr>
    <w:rPr>
      <w:rFonts w:ascii="Times New Roman" w:hAnsi="Times New Roman"/>
      <w:szCs w:val="24"/>
    </w:rPr>
  </w:style>
  <w:style w:type="paragraph" w:styleId="3">
    <w:name w:val="Balloon Text"/>
    <w:basedOn w:val="1"/>
    <w:link w:val="16"/>
    <w:semiHidden/>
    <w:unhideWhenUsed/>
    <w:qFormat/>
    <w:uiPriority w:val="99"/>
    <w:rPr>
      <w:sz w:val="18"/>
      <w:szCs w:val="18"/>
    </w:rPr>
  </w:style>
  <w:style w:type="paragraph" w:styleId="4">
    <w:name w:val="Body Text Indent"/>
    <w:basedOn w:val="1"/>
    <w:next w:val="5"/>
    <w:unhideWhenUsed/>
    <w:qFormat/>
    <w:uiPriority w:val="99"/>
    <w:pPr>
      <w:widowControl/>
      <w:spacing w:after="120"/>
      <w:ind w:left="420" w:leftChars="200"/>
      <w:jc w:val="left"/>
    </w:pPr>
    <w:rPr>
      <w:rFonts w:ascii="宋体" w:hAnsi="宋体" w:eastAsia="宋体" w:cs="宋体"/>
      <w:kern w:val="0"/>
      <w:sz w:val="24"/>
    </w:rPr>
  </w:style>
  <w:style w:type="paragraph" w:styleId="5">
    <w:name w:val="Body Text First Indent 2"/>
    <w:basedOn w:val="4"/>
    <w:next w:val="1"/>
    <w:unhideWhenUsed/>
    <w:qFormat/>
    <w:uiPriority w:val="99"/>
    <w:pPr>
      <w:ind w:firstLine="420" w:firstLineChars="200"/>
    </w:pPr>
  </w:style>
  <w:style w:type="paragraph" w:styleId="6">
    <w:name w:val="footer"/>
    <w:basedOn w:val="1"/>
    <w:link w:val="13"/>
    <w:unhideWhenUsed/>
    <w:qFormat/>
    <w:uiPriority w:val="99"/>
    <w:pPr>
      <w:tabs>
        <w:tab w:val="center" w:pos="4153"/>
        <w:tab w:val="right" w:pos="8306"/>
      </w:tabs>
      <w:snapToGrid w:val="0"/>
      <w:jc w:val="left"/>
    </w:pPr>
    <w:rPr>
      <w:sz w:val="18"/>
      <w:szCs w:val="18"/>
    </w:rPr>
  </w:style>
  <w:style w:type="paragraph" w:styleId="7">
    <w:name w:val="header"/>
    <w:basedOn w:val="1"/>
    <w:link w:val="12"/>
    <w:unhideWhenUsed/>
    <w:qFormat/>
    <w:uiPriority w:val="99"/>
    <w:pPr>
      <w:pBdr>
        <w:bottom w:val="single" w:color="auto" w:sz="6" w:space="1"/>
      </w:pBdr>
      <w:tabs>
        <w:tab w:val="center" w:pos="4153"/>
        <w:tab w:val="right" w:pos="8306"/>
      </w:tabs>
      <w:snapToGrid w:val="0"/>
      <w:jc w:val="center"/>
    </w:pPr>
    <w:rPr>
      <w:sz w:val="18"/>
      <w:szCs w:val="18"/>
    </w:rPr>
  </w:style>
  <w:style w:type="paragraph" w:styleId="8">
    <w:name w:val="footnote text"/>
    <w:basedOn w:val="1"/>
    <w:next w:val="5"/>
    <w:semiHidden/>
    <w:qFormat/>
    <w:uiPriority w:val="0"/>
    <w:pPr>
      <w:snapToGrid w:val="0"/>
      <w:jc w:val="left"/>
    </w:pPr>
    <w:rPr>
      <w:sz w:val="18"/>
      <w:szCs w:val="18"/>
    </w:rPr>
  </w:style>
  <w:style w:type="paragraph" w:styleId="9">
    <w:name w:val="Normal (Web)"/>
    <w:basedOn w:val="1"/>
    <w:qFormat/>
    <w:uiPriority w:val="0"/>
    <w:pPr>
      <w:spacing w:before="0" w:beforeAutospacing="1" w:after="0" w:afterAutospacing="1"/>
      <w:ind w:left="0" w:right="0"/>
      <w:jc w:val="left"/>
    </w:pPr>
    <w:rPr>
      <w:kern w:val="0"/>
      <w:sz w:val="24"/>
      <w:lang w:val="en-US" w:eastAsia="zh-CN" w:bidi="ar"/>
    </w:rPr>
  </w:style>
  <w:style w:type="character" w:customStyle="1" w:styleId="12">
    <w:name w:val="页眉 Char"/>
    <w:basedOn w:val="11"/>
    <w:link w:val="7"/>
    <w:qFormat/>
    <w:uiPriority w:val="99"/>
    <w:rPr>
      <w:sz w:val="18"/>
      <w:szCs w:val="18"/>
    </w:rPr>
  </w:style>
  <w:style w:type="character" w:customStyle="1" w:styleId="13">
    <w:name w:val="页脚 Char"/>
    <w:basedOn w:val="11"/>
    <w:link w:val="6"/>
    <w:qFormat/>
    <w:uiPriority w:val="99"/>
    <w:rPr>
      <w:sz w:val="18"/>
      <w:szCs w:val="18"/>
    </w:rPr>
  </w:style>
  <w:style w:type="paragraph" w:customStyle="1" w:styleId="14">
    <w:name w:val="Default"/>
    <w:qFormat/>
    <w:uiPriority w:val="0"/>
    <w:pPr>
      <w:widowControl w:val="0"/>
      <w:autoSpaceDE w:val="0"/>
      <w:autoSpaceDN w:val="0"/>
      <w:adjustRightInd w:val="0"/>
    </w:pPr>
    <w:rPr>
      <w:rFonts w:ascii="黑体" w:eastAsia="黑体" w:cs="黑体" w:hAnsiTheme="minorHAnsi"/>
      <w:color w:val="000000"/>
      <w:sz w:val="24"/>
      <w:szCs w:val="24"/>
      <w:lang w:val="en-US" w:eastAsia="zh-CN" w:bidi="ar-SA"/>
    </w:rPr>
  </w:style>
  <w:style w:type="paragraph" w:styleId="15">
    <w:name w:val="List Paragraph"/>
    <w:basedOn w:val="1"/>
    <w:qFormat/>
    <w:uiPriority w:val="34"/>
    <w:pPr>
      <w:ind w:firstLine="420" w:firstLineChars="200"/>
    </w:pPr>
  </w:style>
  <w:style w:type="character" w:customStyle="1" w:styleId="16">
    <w:name w:val="批注框文本 Char"/>
    <w:basedOn w:val="11"/>
    <w:link w:val="3"/>
    <w:semiHidden/>
    <w:qFormat/>
    <w:uiPriority w:val="99"/>
    <w:rPr>
      <w:sz w:val="18"/>
      <w:szCs w:val="18"/>
    </w:rPr>
  </w:style>
  <w:style w:type="character" w:customStyle="1" w:styleId="17">
    <w:name w:val="font01"/>
    <w:basedOn w:val="11"/>
    <w:qFormat/>
    <w:uiPriority w:val="0"/>
    <w:rPr>
      <w:rFonts w:hint="eastAsia" w:ascii="宋体" w:hAnsi="宋体" w:eastAsia="宋体" w:cs="宋体"/>
      <w:color w:val="000000"/>
      <w:sz w:val="22"/>
      <w:szCs w:val="22"/>
      <w:u w:val="none"/>
    </w:rPr>
  </w:style>
  <w:style w:type="character" w:customStyle="1" w:styleId="18">
    <w:name w:val="font21"/>
    <w:basedOn w:val="11"/>
    <w:qFormat/>
    <w:uiPriority w:val="0"/>
    <w:rPr>
      <w:rFonts w:hint="eastAsia" w:ascii="宋体" w:hAnsi="宋体" w:eastAsia="宋体" w:cs="宋体"/>
      <w:color w:val="000000"/>
      <w:sz w:val="24"/>
      <w:szCs w:val="24"/>
      <w:u w:val="none"/>
    </w:rPr>
  </w:style>
  <w:style w:type="character" w:customStyle="1" w:styleId="19">
    <w:name w:val="font11"/>
    <w:basedOn w:val="11"/>
    <w:qFormat/>
    <w:uiPriority w:val="0"/>
    <w:rPr>
      <w:rFonts w:hint="eastAsia" w:ascii="宋体" w:hAnsi="宋体" w:eastAsia="宋体" w:cs="宋体"/>
      <w:color w:val="000000"/>
      <w:sz w:val="24"/>
      <w:szCs w:val="24"/>
      <w:u w:val="none"/>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34</Pages>
  <Words>11175</Words>
  <Characters>12454</Characters>
  <Lines>69</Lines>
  <Paragraphs>19</Paragraphs>
  <TotalTime>8</TotalTime>
  <ScaleCrop>false</ScaleCrop>
  <LinksUpToDate>false</LinksUpToDate>
  <CharactersWithSpaces>13857</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2025-08-19T18:17:00Z</dcterms:created>
  <dc:creator>李航 null</dc:creator>
  <cp:lastModifiedBy>水蜜桃</cp:lastModifiedBy>
  <cp:lastPrinted>2024-08-10T02:20:00Z</cp:lastPrinted>
  <dcterms:modified xsi:type="dcterms:W3CDTF">2026-09-14T02:14:12Z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DB8DD8CF80DE4D99A8DBC2E36EE34628_13</vt:lpwstr>
  </property>
  <property fmtid="{D5CDD505-2E9C-101B-9397-08002B2CF9AE}" pid="4" name="KSOTemplateDocerSaveRecord">
    <vt:lpwstr>eyJoZGlkIjoiNTAxNTRiYTViZmY3NjI5NzM5NmM4N2QzNDNhZWM2MTAiLCJ1c2VySWQiOiI0NDE0OTM4NjcifQ==</vt:lpwstr>
  </property>
</Properties>
</file>