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5F5E1">
      <w:pPr>
        <w:spacing w:line="580" w:lineRule="exact"/>
        <w:jc w:val="center"/>
        <w:textAlignment w:val="baseline"/>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年度政法委整体支出绩效评价报告</w:t>
      </w:r>
    </w:p>
    <w:p w14:paraId="232CC15D">
      <w:pPr>
        <w:spacing w:line="580" w:lineRule="exact"/>
        <w:ind w:firstLine="600" w:firstLineChars="200"/>
        <w:textAlignment w:val="baseline"/>
        <w:rPr>
          <w:rFonts w:ascii="华文仿宋" w:hAnsi="华文仿宋" w:eastAsia="华文仿宋" w:cs="华文仿宋"/>
          <w:sz w:val="30"/>
          <w:szCs w:val="30"/>
        </w:rPr>
      </w:pPr>
    </w:p>
    <w:p w14:paraId="18E543B8">
      <w:pPr>
        <w:spacing w:line="58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一、部门概况</w:t>
      </w:r>
    </w:p>
    <w:p w14:paraId="2E4084F0">
      <w:pPr>
        <w:keepNext w:val="0"/>
        <w:keepLines w:val="0"/>
        <w:widowControl/>
        <w:suppressLineNumbers w:val="0"/>
        <w:jc w:val="left"/>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b/>
          <w:bCs/>
          <w:sz w:val="32"/>
          <w:szCs w:val="32"/>
        </w:rPr>
        <w:t>部门基本情况：</w:t>
      </w:r>
    </w:p>
    <w:p w14:paraId="3F096949">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道县县委政法委内设办公室、政工室（宣传教育室）、研 究 室、维稳办公室、综治办公室、反邪教办公室、执法监督室 7 个职能股室，核定行政编制 11 人，机关后勤服务编制 1 人， 实 有在职人员 10 人，在职机关工人 2 人，退休人员 15 人。 </w:t>
      </w:r>
    </w:p>
    <w:p w14:paraId="75C9DD97">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直属管理机构道县网格事务中心（道县社会治安综合治理 中心），为副科级全额拨款事业单位，核定编制 2人，现有 在 职人员 11 人。 </w:t>
      </w:r>
    </w:p>
    <w:p w14:paraId="31BD2353">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直属管理机构道县政法信息中心，为正股级全额拨款事业 单位，核定编制 3 人，现有在职人员 2 人。 </w:t>
      </w:r>
    </w:p>
    <w:p w14:paraId="617B1F21">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公车改革后，我委无公务车辆。</w:t>
      </w:r>
    </w:p>
    <w:p w14:paraId="1E5FB77C"/>
    <w:p w14:paraId="182BE6AF">
      <w:pPr>
        <w:spacing w:line="580" w:lineRule="exact"/>
        <w:ind w:firstLine="640" w:firstLineChars="200"/>
        <w:textAlignment w:val="baseline"/>
        <w:rPr>
          <w:rFonts w:ascii="华文仿宋" w:hAnsi="华文仿宋" w:eastAsia="华文仿宋" w:cs="华文仿宋"/>
          <w:b/>
          <w:bCs/>
          <w:sz w:val="32"/>
          <w:szCs w:val="32"/>
        </w:rPr>
      </w:pPr>
      <w:r>
        <w:rPr>
          <w:rFonts w:hint="eastAsia" w:ascii="华文仿宋" w:hAnsi="华文仿宋" w:eastAsia="华文仿宋" w:cs="华文仿宋"/>
          <w:b/>
          <w:bCs/>
          <w:sz w:val="32"/>
          <w:szCs w:val="32"/>
        </w:rPr>
        <w:t>（二）主要职能如下：</w:t>
      </w:r>
    </w:p>
    <w:p w14:paraId="1E36B658">
      <w:pPr>
        <w:shd w:val="clear" w:color="auto" w:fill="FFFFFF"/>
        <w:spacing w:line="58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1. 贯彻习近平新时代中国特色社会主义思想，坚持党对政法工作的绝对领导，坚决执行党的路线方针政策和党中央重大决策部署，推动完善和落实政治轮训和政治督察制度。</w:t>
      </w:r>
    </w:p>
    <w:p w14:paraId="79167829">
      <w:pPr>
        <w:shd w:val="clear" w:color="auto" w:fill="FFFFFF"/>
        <w:spacing w:line="58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2. 贯彻党中央决定以及县委决策，对全县政法工作研究提出全局性部署，推进平安道州、法治道州建设。研究协调政法单位之间、政法单位与有关部门、地方之间有关重大事项，统一政法单位的思想和行动。</w:t>
      </w:r>
    </w:p>
    <w:p w14:paraId="6FC326E9">
      <w:pPr>
        <w:shd w:val="clear" w:color="auto" w:fill="FFFFFF"/>
        <w:spacing w:line="58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3. 加强对政法领域重大实践和理论问题调查研究，提出重大决策部署和改革措施的意见和建议，协助党委决策和统筹推进政法改革等各项工作。</w:t>
      </w:r>
    </w:p>
    <w:p w14:paraId="710F50E4">
      <w:pPr>
        <w:shd w:val="clear" w:color="auto" w:fill="FFFFFF"/>
        <w:spacing w:line="58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4. 了解掌握和分析研判社会稳定形势、政法工作情况动态，创新完善多部门参与的平安建设工作协调机制，协调推动预防、化解影响稳定的社会矛盾和风险，协调应对和妥善处置重大事件，协调指导政法单位和有关部门做好反邪教、反暴恐工作。</w:t>
      </w:r>
    </w:p>
    <w:p w14:paraId="415691B9">
      <w:pPr>
        <w:shd w:val="clear" w:color="auto" w:fill="FFFFFF"/>
        <w:spacing w:line="58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5. 加强对政法工作的督查，统筹协调社会治安综合治理、维护社会稳定、反邪教、反暴恐等有关国家法律法规和政策的实施工作。</w:t>
      </w:r>
    </w:p>
    <w:p w14:paraId="245A9921">
      <w:pPr>
        <w:shd w:val="clear" w:color="auto" w:fill="FFFFFF"/>
        <w:spacing w:line="58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6. 支持和监督政法单位依法行使职权，检查政法单位执行党的路线方针政策、党中央重大决策部署和国家法律法规的情况，指导和协调政法单位密切配合，完善与纪检监察机关衔接和协作配合机制，推进严格执法、公正司法。代管县法学会。</w:t>
      </w:r>
    </w:p>
    <w:p w14:paraId="50FEDC4A">
      <w:pPr>
        <w:shd w:val="clear" w:color="auto" w:fill="FFFFFF"/>
        <w:spacing w:line="58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7. 指导和推动政法单位党的建设和政法队伍建设，协助县委和县委组织部加强政法单位领导班子和干部队伍建设，协助县委及县委组织部考察政法单位领导干部，办理管理权限内的政法干部任免。协助党委和纪检监察机关做好监督检查、审查调查工作，派员列席政法单位党组（党委）民主生活会。</w:t>
      </w:r>
    </w:p>
    <w:p w14:paraId="3B160DF0">
      <w:pPr>
        <w:shd w:val="clear" w:color="auto" w:fill="FFFFFF"/>
        <w:spacing w:line="58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8. 落实中央和省委、市委、县委国家安全领导机构、全面依法治国领导机构的决策部署，支持配合其办事机构工作；指导政法单位加强国家政治安全战略研究、法治中国建设重大问题研究，提出建议和工作意见，指导协调政法单位维护政治安全工作和执法司法相关工作。</w:t>
      </w:r>
    </w:p>
    <w:p w14:paraId="450358AD">
      <w:pPr>
        <w:shd w:val="clear" w:color="auto" w:fill="FFFFFF"/>
        <w:spacing w:line="58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9. 掌握分析政法舆情动态，指导和协调政法单位和有关部门做好依法办理、宣传报道和舆情引导相关工作。</w:t>
      </w:r>
    </w:p>
    <w:p w14:paraId="0233A530">
      <w:pPr>
        <w:shd w:val="clear" w:color="auto" w:fill="FFFFFF"/>
        <w:spacing w:line="58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10. 完成县委和上级党委政法委交办的其他任务。</w:t>
      </w:r>
    </w:p>
    <w:p w14:paraId="2573AD5F">
      <w:pPr>
        <w:spacing w:line="58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二、部门整体支出使用情况</w:t>
      </w:r>
    </w:p>
    <w:p w14:paraId="10B04D17">
      <w:pPr>
        <w:shd w:val="clear" w:color="auto" w:fill="FFFFFF"/>
        <w:spacing w:line="58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年政法委共支</w:t>
      </w:r>
      <w:r>
        <w:rPr>
          <w:rFonts w:hint="eastAsia" w:ascii="仿宋_GB2312" w:hAnsi="仿宋_GB2312" w:eastAsia="仿宋_GB2312" w:cs="仿宋_GB2312"/>
          <w:color w:val="000000" w:themeColor="text1"/>
          <w:sz w:val="32"/>
          <w:szCs w:val="32"/>
          <w14:textFill>
            <w14:solidFill>
              <w14:schemeClr w14:val="tx1"/>
            </w14:solidFill>
          </w14:textFill>
        </w:rPr>
        <w:t>出</w:t>
      </w:r>
      <w:r>
        <w:rPr>
          <w:rFonts w:hint="eastAsia" w:ascii="仿宋_GB2312" w:eastAsia="仿宋_GB2312" w:cs="仿宋_GB2312"/>
          <w:color w:val="000000" w:themeColor="text1"/>
          <w:kern w:val="0"/>
          <w:sz w:val="32"/>
          <w:szCs w:val="32"/>
          <w:lang w:val="en-US" w:eastAsia="zh-CN"/>
          <w14:textFill>
            <w14:solidFill>
              <w14:schemeClr w14:val="tx1"/>
            </w14:solidFill>
          </w14:textFill>
        </w:rPr>
        <w:t>873.58</w:t>
      </w:r>
      <w:r>
        <w:rPr>
          <w:rFonts w:hint="eastAsia" w:ascii="仿宋_GB2312" w:hAnsi="仿宋_GB2312" w:eastAsia="仿宋_GB2312" w:cs="仿宋_GB2312"/>
          <w:color w:val="000000" w:themeColor="text1"/>
          <w:sz w:val="32"/>
          <w:szCs w:val="32"/>
          <w14:textFill>
            <w14:solidFill>
              <w14:schemeClr w14:val="tx1"/>
            </w14:solidFill>
          </w14:textFill>
        </w:rPr>
        <w:t>万</w:t>
      </w:r>
      <w:r>
        <w:rPr>
          <w:rFonts w:hint="eastAsia" w:ascii="仿宋_GB2312" w:hAnsi="仿宋_GB2312" w:eastAsia="仿宋_GB2312" w:cs="仿宋_GB2312"/>
          <w:sz w:val="32"/>
          <w:szCs w:val="32"/>
        </w:rPr>
        <w:t>元。</w:t>
      </w:r>
    </w:p>
    <w:p w14:paraId="33B96619">
      <w:pPr>
        <w:keepNext w:val="0"/>
        <w:keepLines w:val="0"/>
        <w:widowControl/>
        <w:suppressLineNumbers w:val="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b/>
          <w:bCs/>
          <w:sz w:val="32"/>
          <w:szCs w:val="32"/>
        </w:rPr>
        <w:t>基本支出</w:t>
      </w:r>
      <w:r>
        <w:rPr>
          <w:rFonts w:hint="eastAsia" w:ascii="仿宋_GB2312" w:hAnsi="仿宋_GB2312" w:eastAsia="仿宋_GB2312" w:cs="仿宋_GB2312"/>
          <w:sz w:val="32"/>
          <w:szCs w:val="32"/>
          <w:lang w:val="en-US" w:eastAsia="zh-CN"/>
        </w:rPr>
        <w:t>389.22</w:t>
      </w:r>
      <w:r>
        <w:rPr>
          <w:rFonts w:hint="eastAsia" w:ascii="仿宋_GB2312" w:hAnsi="仿宋_GB2312" w:eastAsia="仿宋_GB2312" w:cs="仿宋_GB2312"/>
          <w:sz w:val="32"/>
          <w:szCs w:val="32"/>
        </w:rPr>
        <w:t>万元，其中：①工资福利支出</w:t>
      </w:r>
      <w:r>
        <w:rPr>
          <w:rFonts w:hint="eastAsia" w:ascii="仿宋_GB2312" w:hAnsi="仿宋_GB2312" w:eastAsia="仿宋_GB2312" w:cs="仿宋_GB2312"/>
          <w:sz w:val="32"/>
          <w:szCs w:val="32"/>
          <w:lang w:val="en-US" w:eastAsia="zh-CN"/>
        </w:rPr>
        <w:t>299.89</w:t>
      </w:r>
      <w:r>
        <w:rPr>
          <w:rFonts w:hint="eastAsia" w:ascii="仿宋_GB2312" w:hAnsi="仿宋_GB2312" w:eastAsia="仿宋_GB2312" w:cs="仿宋_GB2312"/>
          <w:sz w:val="32"/>
          <w:szCs w:val="32"/>
        </w:rPr>
        <w:t>万元(基本工资</w:t>
      </w:r>
      <w:r>
        <w:rPr>
          <w:rFonts w:hint="eastAsia" w:ascii="仿宋_GB2312" w:hAnsi="仿宋_GB2312" w:eastAsia="仿宋_GB2312" w:cs="仿宋_GB2312"/>
          <w:sz w:val="32"/>
          <w:szCs w:val="32"/>
          <w:lang w:val="en-US" w:eastAsia="zh-CN"/>
        </w:rPr>
        <w:t>114.57万元，津补贴61.77万元，绩效工资59.13，机关事业保险,2</w:t>
      </w:r>
      <w:bookmarkStart w:id="0" w:name="_GoBack"/>
      <w:bookmarkEnd w:id="0"/>
      <w:r>
        <w:rPr>
          <w:rFonts w:hint="eastAsia" w:ascii="仿宋_GB2312" w:hAnsi="仿宋_GB2312" w:eastAsia="仿宋_GB2312" w:cs="仿宋_GB2312"/>
          <w:sz w:val="32"/>
          <w:szCs w:val="32"/>
          <w:lang w:val="en-US" w:eastAsia="zh-CN"/>
        </w:rPr>
        <w:t>8.93万元，医疗保险15.77万元，住房公积金19.72万元，②公用支出66.56万</w:t>
      </w:r>
      <w:r>
        <w:rPr>
          <w:rFonts w:hint="eastAsia" w:ascii="仿宋_GB2312" w:hAnsi="仿宋_GB2312" w:eastAsia="仿宋_GB2312" w:cs="仿宋_GB2312"/>
          <w:sz w:val="32"/>
          <w:szCs w:val="32"/>
        </w:rPr>
        <w:t>元（办公费</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万元，印刷费</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万元，水费</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万元，电费</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万元，差旅费</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维护费3元，</w:t>
      </w:r>
      <w:r>
        <w:rPr>
          <w:rFonts w:hint="eastAsia" w:ascii="仿宋_GB2312" w:hAnsi="仿宋_GB2312" w:eastAsia="仿宋_GB2312" w:cs="仿宋_GB2312"/>
          <w:sz w:val="32"/>
          <w:szCs w:val="32"/>
        </w:rPr>
        <w:t>会议费</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万元，培训费</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万，工会经费</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万元，其他交通费用</w:t>
      </w:r>
      <w:r>
        <w:rPr>
          <w:rFonts w:hint="eastAsia" w:ascii="仿宋_GB2312" w:hAnsi="仿宋_GB2312" w:eastAsia="仿宋_GB2312" w:cs="仿宋_GB2312"/>
          <w:sz w:val="32"/>
          <w:szCs w:val="32"/>
          <w:lang w:val="en-US" w:eastAsia="zh-CN"/>
        </w:rPr>
        <w:t>9.56</w:t>
      </w:r>
      <w:r>
        <w:rPr>
          <w:rFonts w:hint="eastAsia" w:ascii="仿宋_GB2312" w:hAnsi="仿宋_GB2312" w:eastAsia="仿宋_GB2312" w:cs="仿宋_GB2312"/>
          <w:sz w:val="32"/>
          <w:szCs w:val="32"/>
        </w:rPr>
        <w:t>万元，其他商品服务支出</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万元</w:t>
      </w:r>
      <w:r>
        <w:rPr>
          <w:rFonts w:ascii="仿宋_GB2312" w:hAnsi="宋体" w:eastAsia="仿宋_GB2312" w:cs="仿宋_GB2312"/>
          <w:color w:val="000000"/>
          <w:kern w:val="0"/>
          <w:sz w:val="31"/>
          <w:szCs w:val="31"/>
          <w:lang w:val="en-US" w:eastAsia="zh-CN" w:bidi="ar"/>
        </w:rPr>
        <w:t>。③对个人和家庭的补</w:t>
      </w:r>
      <w:r>
        <w:rPr>
          <w:rFonts w:hint="eastAsia" w:ascii="仿宋_GB2312" w:hAnsi="宋体" w:eastAsia="仿宋_GB2312" w:cs="仿宋_GB2312"/>
          <w:color w:val="000000"/>
          <w:kern w:val="0"/>
          <w:sz w:val="31"/>
          <w:szCs w:val="31"/>
          <w:lang w:val="en-US" w:eastAsia="zh-CN" w:bidi="ar"/>
        </w:rPr>
        <w:t>助抚恤金22.77万元。</w:t>
      </w:r>
      <w:r>
        <w:rPr>
          <w:rFonts w:hint="eastAsia" w:ascii="仿宋_GB2312" w:hAnsi="仿宋_GB2312" w:eastAsia="仿宋_GB2312" w:cs="仿宋_GB2312"/>
          <w:sz w:val="32"/>
          <w:szCs w:val="32"/>
        </w:rPr>
        <w:t>）。</w:t>
      </w:r>
    </w:p>
    <w:p w14:paraId="1669BDA9">
      <w:pPr>
        <w:shd w:val="clear" w:color="auto" w:fill="FFFFFF"/>
        <w:spacing w:line="58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（二）</w:t>
      </w:r>
      <w:r>
        <w:rPr>
          <w:rFonts w:hint="eastAsia" w:ascii="仿宋_GB2312" w:hAnsi="仿宋_GB2312" w:eastAsia="仿宋_GB2312" w:cs="仿宋_GB2312"/>
          <w:b/>
          <w:bCs/>
          <w:sz w:val="32"/>
          <w:szCs w:val="32"/>
        </w:rPr>
        <w:t>项目支出</w:t>
      </w:r>
      <w:r>
        <w:rPr>
          <w:rFonts w:hint="eastAsia" w:ascii="仿宋_GB2312" w:hAnsi="仿宋_GB2312" w:eastAsia="仿宋_GB2312" w:cs="仿宋_GB2312"/>
          <w:sz w:val="32"/>
          <w:szCs w:val="32"/>
          <w:lang w:val="en-US" w:eastAsia="zh-CN"/>
        </w:rPr>
        <w:t>484.36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其中：智慧道州及综治视频网运转维护经费、城区街道网格人员经费、综治民调及民调中心、应急处突及精神病人管控、扫黑除恶等454.98万元,国家司法救助支出29.38万元。</w:t>
      </w:r>
    </w:p>
    <w:p w14:paraId="3C4698B8">
      <w:pPr>
        <w:shd w:val="clear" w:color="auto" w:fill="FFFFFF"/>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年三公经费使用情况：</w:t>
      </w:r>
    </w:p>
    <w:p w14:paraId="4F689064">
      <w:pPr>
        <w:shd w:val="clear" w:color="auto" w:fill="FFFFFF"/>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公务接待202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年末公务接待支出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p>
    <w:p w14:paraId="51AEF7EF">
      <w:pPr>
        <w:shd w:val="clear" w:color="auto" w:fill="FFFFFF"/>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三、部门整体支出管理情况</w:t>
      </w:r>
    </w:p>
    <w:p w14:paraId="4EC7DCCD">
      <w:pPr>
        <w:shd w:val="clear" w:color="auto" w:fill="FFFFFF"/>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1.完善制度，规范管理。</w:t>
      </w:r>
    </w:p>
    <w:p w14:paraId="0027C528">
      <w:pPr>
        <w:shd w:val="clear" w:color="auto" w:fill="FFFFFF"/>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善了政法委财务管理制度、会计核算制度、报账审批制度。严格按照国家财经法规、财务管理制度规定以及有关专项资金管理办法的规定进行资金管理，资金拨付有完整的审批程序和手续，对行政运行、内部控制、会议、差旅、培训等按新政策进行修订和细化。</w:t>
      </w:r>
    </w:p>
    <w:p w14:paraId="4E8E3264">
      <w:pPr>
        <w:shd w:val="clear" w:color="auto" w:fill="FFFFFF"/>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2.严格执行预算，控制各项支出。</w:t>
      </w:r>
    </w:p>
    <w:p w14:paraId="08BA3F08">
      <w:pPr>
        <w:shd w:val="clear" w:color="auto" w:fill="FFFFFF"/>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严格控制公务接待费。坚持“先审批、后接待”的程序，根据派出单位发出的公务活动公函开展公务接待，如有特殊情况，对方没有公函，接待单位可以用通话记录代替。公务接待严格按接待标准执行，严禁超标准和使用烟酒。</w:t>
      </w:r>
    </w:p>
    <w:p w14:paraId="3E8856B9">
      <w:pPr>
        <w:shd w:val="clear" w:color="auto" w:fill="FFFFFF"/>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（2）加强培训费及差旅费的管理。严格控制培训参会次数、人数，实行出差审批制度，控制出差次数、人数。严禁在培训费中列支公务接待费、会议费、套取培训费用设立“小金库”。</w:t>
      </w:r>
    </w:p>
    <w:p w14:paraId="25613909">
      <w:pPr>
        <w:shd w:val="clear" w:color="auto" w:fill="FFFFFF"/>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（3）严格执行政府采购制度和程序。单位购置物品按采购规定实施，耗材、办公用品实行定点采购。合理确定采购需求，进行价格测算，确保采购目录、限额标准真正落到实处，不得超出办公需要采购服务。</w:t>
      </w:r>
    </w:p>
    <w:p w14:paraId="21C17FDC">
      <w:pPr>
        <w:shd w:val="clear" w:color="auto" w:fill="FFFFFF"/>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（4）加强用电管理。履行节约用电义务，提倡节约用电，下班后办公室进行统一关闭电源。</w:t>
      </w:r>
    </w:p>
    <w:p w14:paraId="35D12BA1">
      <w:pPr>
        <w:shd w:val="clear" w:color="auto" w:fill="FFFFFF"/>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四、部门整体支出绩效情况</w:t>
      </w:r>
    </w:p>
    <w:p w14:paraId="5CD7F682">
      <w:pPr>
        <w:shd w:val="clear" w:color="auto" w:fill="FFFFFF"/>
        <w:spacing w:line="58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2025年，全县政法系统在县委坚强领导下，紧扣</w:t>
      </w:r>
      <w:r>
        <w:rPr>
          <w:rFonts w:hint="eastAsia" w:ascii="仿宋_GB2312" w:hAnsi="仿宋_GB2312" w:eastAsia="仿宋_GB2312" w:cs="仿宋_GB2312"/>
          <w:sz w:val="32"/>
          <w:szCs w:val="32"/>
          <w:lang w:eastAsia="zh-CN"/>
        </w:rPr>
        <w:t>为党的二十大胜利召开营造安全稳定的政治社会环境</w:t>
      </w:r>
      <w:r>
        <w:rPr>
          <w:rFonts w:hint="eastAsia" w:ascii="仿宋_GB2312" w:hAnsi="仿宋_GB2312" w:eastAsia="仿宋_GB2312" w:cs="仿宋_GB2312"/>
          <w:sz w:val="32"/>
          <w:szCs w:val="32"/>
          <w:lang w:val="en-US" w:eastAsia="zh-CN"/>
        </w:rPr>
        <w:t>这条</w:t>
      </w:r>
      <w:r>
        <w:rPr>
          <w:rFonts w:hint="eastAsia" w:ascii="仿宋_GB2312" w:hAnsi="仿宋_GB2312" w:eastAsia="仿宋_GB2312" w:cs="仿宋_GB2312"/>
          <w:sz w:val="32"/>
          <w:szCs w:val="32"/>
          <w:lang w:eastAsia="zh-CN"/>
        </w:rPr>
        <w:t>主线，</w:t>
      </w:r>
      <w:r>
        <w:rPr>
          <w:rFonts w:hint="eastAsia" w:ascii="仿宋_GB2312" w:hAnsi="仿宋_GB2312" w:eastAsia="仿宋_GB2312" w:cs="仿宋_GB2312"/>
          <w:sz w:val="32"/>
          <w:szCs w:val="32"/>
          <w:lang w:val="en-US" w:eastAsia="zh-CN"/>
        </w:rPr>
        <w:t>全力以赴防风险、优治理、保平安、护稳定，巩固了政治安全、社会安定、人民安宁、网络安靖的良好局面，为建设现代化新道县提供了坚实的政法保障。2025年，我县获评省平安建设先进县。公众安全感民意调查排全省前20位、全市第2位。陈树湘派出所获评</w:t>
      </w:r>
      <w:r>
        <w:rPr>
          <w:rFonts w:hint="eastAsia" w:ascii="仿宋_GB2312" w:hAnsi="仿宋_GB2312" w:eastAsia="仿宋_GB2312" w:cs="仿宋_GB2312"/>
          <w:sz w:val="32"/>
          <w:szCs w:val="32"/>
        </w:rPr>
        <w:t>“全国人民满意的公务员集体”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全国优秀公安基层单位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、“全国公安机关成绩突出青年集体”。回首过去一年，我们在大战大考之中交出了全县人民满意的高质量“平安答卷”，在全面提升中铸就政法工作新辉煌。</w:t>
      </w:r>
    </w:p>
    <w:p w14:paraId="7D9D9E2C">
      <w:pPr>
        <w:shd w:val="clear" w:color="auto" w:fill="FFFFFF"/>
        <w:spacing w:line="58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一年来，防化了多种风险，维护稳定更有力。完成县委国安办机构转隶。反邪教工作继续保持“三零”目标。对重大风险隐患建立五项调度机制。共</w:t>
      </w:r>
      <w:r>
        <w:rPr>
          <w:rFonts w:hint="eastAsia" w:ascii="仿宋_GB2312" w:hAnsi="仿宋_GB2312" w:eastAsia="仿宋_GB2312" w:cs="仿宋_GB2312"/>
          <w:sz w:val="32"/>
          <w:szCs w:val="32"/>
          <w:lang w:eastAsia="zh-CN"/>
        </w:rPr>
        <w:t>化解涉稳风险隐患</w:t>
      </w:r>
      <w:r>
        <w:rPr>
          <w:rFonts w:hint="eastAsia" w:ascii="仿宋_GB2312" w:hAnsi="仿宋_GB2312" w:eastAsia="仿宋_GB2312" w:cs="仿宋_GB2312"/>
          <w:sz w:val="32"/>
          <w:szCs w:val="32"/>
          <w:lang w:val="en-US" w:eastAsia="zh-CN"/>
        </w:rPr>
        <w:t>383起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调处各类矛盾纠纷1488起、化解率99.5%。摸排13类重点人285名，落</w:t>
      </w:r>
      <w:r>
        <w:rPr>
          <w:rFonts w:hint="eastAsia" w:ascii="仿宋_GB2312" w:hAnsi="仿宋_GB2312" w:eastAsia="仿宋_GB2312" w:cs="仿宋_GB2312"/>
          <w:sz w:val="32"/>
          <w:szCs w:val="32"/>
          <w:lang w:eastAsia="zh-CN"/>
        </w:rPr>
        <w:t>实</w:t>
      </w:r>
      <w:r>
        <w:rPr>
          <w:rFonts w:hint="eastAsia" w:ascii="仿宋_GB2312" w:hAnsi="仿宋_GB2312" w:eastAsia="仿宋_GB2312" w:cs="仿宋_GB2312"/>
          <w:sz w:val="32"/>
          <w:szCs w:val="32"/>
        </w:rPr>
        <w:t>“五包一”管控措施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道路交通安全风险从“二类风险县”下调为“三类风险县”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护路联防工作获评全市第一。国家信访局交办重复访积案139件，办结139件。赴省进京越级访同比分别下降53.2%、48.5%。获评2025年北京冬奥会、冬残奥会、全国“两会”和党的二十大期间全市信访维稳工作先进县。</w:t>
      </w:r>
    </w:p>
    <w:p w14:paraId="13B6B84C">
      <w:pPr>
        <w:shd w:val="clear" w:color="auto" w:fill="FFFFFF"/>
        <w:spacing w:line="58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一年来，打击了多类犯罪，综合整治更有成。纵深推进五类跨区域突出犯罪综合整治。“</w:t>
      </w:r>
      <w:r>
        <w:rPr>
          <w:rFonts w:hint="eastAsia" w:ascii="仿宋_GB2312" w:hAnsi="仿宋_GB2312" w:eastAsia="仿宋_GB2312" w:cs="仿宋_GB2312"/>
          <w:sz w:val="32"/>
          <w:szCs w:val="32"/>
        </w:rPr>
        <w:t>滞留境外涉诈高危人员</w:t>
      </w:r>
      <w:r>
        <w:rPr>
          <w:rFonts w:hint="eastAsia" w:ascii="仿宋_GB2312" w:hAnsi="仿宋_GB2312" w:eastAsia="仿宋_GB2312" w:cs="仿宋_GB2312"/>
          <w:sz w:val="32"/>
          <w:szCs w:val="32"/>
          <w:lang w:val="en-US" w:eastAsia="zh-CN"/>
        </w:rPr>
        <w:t>”排名已稳步退出全国前100位。外流贩毒仅2人，假币犯罪得到根本遏制，碰瓷诈骗、外流盗窃现象得到彻底根治。增设扫黑除恶督导室为县委政法委内设机构，推动扫黑除恶斗争常态化开展。深入开展严打整治</w:t>
      </w:r>
      <w:r>
        <w:rPr>
          <w:rFonts w:hint="eastAsia" w:ascii="仿宋_GB2312" w:hAnsi="仿宋_GB2312" w:eastAsia="仿宋_GB2312" w:cs="仿宋_GB2312"/>
          <w:sz w:val="32"/>
          <w:szCs w:val="32"/>
          <w:lang w:eastAsia="zh-CN"/>
        </w:rPr>
        <w:t>行动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县公安局</w:t>
      </w:r>
      <w:r>
        <w:rPr>
          <w:rFonts w:hint="eastAsia" w:ascii="仿宋_GB2312" w:hAnsi="仿宋_GB2312" w:eastAsia="仿宋_GB2312" w:cs="仿宋_GB2312"/>
          <w:sz w:val="32"/>
          <w:szCs w:val="32"/>
        </w:rPr>
        <w:t>共破获刑事案件</w:t>
      </w:r>
      <w:r>
        <w:rPr>
          <w:rFonts w:hint="eastAsia" w:ascii="仿宋_GB2312" w:hAnsi="仿宋_GB2312" w:eastAsia="仿宋_GB2312" w:cs="仿宋_GB2312"/>
          <w:sz w:val="32"/>
          <w:szCs w:val="32"/>
          <w:lang w:val="en-US" w:eastAsia="zh-CN"/>
        </w:rPr>
        <w:t>653</w:t>
      </w:r>
      <w:r>
        <w:rPr>
          <w:rFonts w:hint="eastAsia" w:ascii="仿宋_GB2312" w:hAnsi="仿宋_GB2312" w:eastAsia="仿宋_GB2312" w:cs="仿宋_GB2312"/>
          <w:sz w:val="32"/>
          <w:szCs w:val="32"/>
        </w:rPr>
        <w:t>起,刑拘</w:t>
      </w:r>
      <w:r>
        <w:rPr>
          <w:rFonts w:hint="eastAsia" w:ascii="仿宋_GB2312" w:hAnsi="仿宋_GB2312" w:eastAsia="仿宋_GB2312" w:cs="仿宋_GB2312"/>
          <w:sz w:val="32"/>
          <w:szCs w:val="32"/>
          <w:lang w:val="en-US" w:eastAsia="zh-CN"/>
        </w:rPr>
        <w:t>744人；</w:t>
      </w:r>
      <w:r>
        <w:rPr>
          <w:rFonts w:hint="eastAsia" w:ascii="仿宋_GB2312" w:hAnsi="仿宋_GB2312" w:eastAsia="仿宋_GB2312" w:cs="仿宋_GB2312"/>
          <w:sz w:val="32"/>
          <w:szCs w:val="32"/>
          <w:lang w:eastAsia="zh-CN"/>
        </w:rPr>
        <w:t>县检察院</w:t>
      </w:r>
      <w:r>
        <w:rPr>
          <w:rFonts w:hint="eastAsia" w:ascii="仿宋_GB2312" w:hAnsi="仿宋_GB2312" w:eastAsia="仿宋_GB2312" w:cs="仿宋_GB2312"/>
          <w:sz w:val="32"/>
          <w:szCs w:val="32"/>
        </w:rPr>
        <w:t>审查</w:t>
      </w:r>
      <w:r>
        <w:rPr>
          <w:rFonts w:hint="eastAsia" w:ascii="仿宋_GB2312" w:hAnsi="仿宋_GB2312" w:eastAsia="仿宋_GB2312" w:cs="仿宋_GB2312"/>
          <w:sz w:val="32"/>
          <w:szCs w:val="32"/>
          <w:lang w:eastAsia="zh-CN"/>
        </w:rPr>
        <w:t>批准逮捕案件</w:t>
      </w:r>
      <w:r>
        <w:rPr>
          <w:rFonts w:hint="eastAsia" w:ascii="仿宋_GB2312" w:hAnsi="仿宋_GB2312" w:eastAsia="仿宋_GB2312" w:cs="仿宋_GB2312"/>
          <w:sz w:val="32"/>
          <w:szCs w:val="32"/>
          <w:lang w:val="en-US" w:eastAsia="zh-CN"/>
        </w:rPr>
        <w:t>219件311人，</w:t>
      </w:r>
      <w:r>
        <w:rPr>
          <w:rFonts w:hint="eastAsia" w:ascii="仿宋_GB2312" w:hAnsi="仿宋_GB2312" w:eastAsia="仿宋_GB2312" w:cs="仿宋_GB2312"/>
          <w:sz w:val="32"/>
          <w:szCs w:val="32"/>
        </w:rPr>
        <w:t>提起公诉案件</w:t>
      </w:r>
      <w:r>
        <w:rPr>
          <w:rFonts w:hint="eastAsia" w:ascii="仿宋_GB2312" w:hAnsi="仿宋_GB2312" w:eastAsia="仿宋_GB2312" w:cs="仿宋_GB2312"/>
          <w:sz w:val="32"/>
          <w:szCs w:val="32"/>
          <w:lang w:val="en-US" w:eastAsia="zh-CN"/>
        </w:rPr>
        <w:t>912</w:t>
      </w:r>
      <w:r>
        <w:rPr>
          <w:rFonts w:hint="eastAsia" w:ascii="仿宋_GB2312" w:hAnsi="仿宋_GB2312" w:eastAsia="仿宋_GB2312" w:cs="仿宋_GB2312"/>
          <w:sz w:val="32"/>
          <w:szCs w:val="32"/>
        </w:rPr>
        <w:t>件</w:t>
      </w:r>
      <w:r>
        <w:rPr>
          <w:rFonts w:hint="eastAsia" w:ascii="仿宋_GB2312" w:hAnsi="仿宋_GB2312" w:eastAsia="仿宋_GB2312" w:cs="仿宋_GB2312"/>
          <w:sz w:val="32"/>
          <w:szCs w:val="32"/>
          <w:lang w:val="en-US" w:eastAsia="zh-CN"/>
        </w:rPr>
        <w:t>1225</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；县法院</w:t>
      </w:r>
      <w:r>
        <w:rPr>
          <w:rFonts w:hint="eastAsia" w:ascii="仿宋_GB2312" w:hAnsi="仿宋_GB2312" w:eastAsia="仿宋_GB2312" w:cs="仿宋_GB2312"/>
          <w:sz w:val="32"/>
          <w:szCs w:val="32"/>
        </w:rPr>
        <w:t>审结</w:t>
      </w:r>
      <w:r>
        <w:rPr>
          <w:rFonts w:hint="eastAsia" w:ascii="仿宋_GB2312" w:hAnsi="仿宋_GB2312" w:eastAsia="仿宋_GB2312" w:cs="仿宋_GB2312"/>
          <w:sz w:val="32"/>
          <w:szCs w:val="32"/>
          <w:lang w:eastAsia="zh-CN"/>
        </w:rPr>
        <w:t>刑事案件</w:t>
      </w:r>
      <w:r>
        <w:rPr>
          <w:rFonts w:hint="eastAsia" w:ascii="仿宋_GB2312" w:hAnsi="仿宋_GB2312" w:eastAsia="仿宋_GB2312" w:cs="仿宋_GB2312"/>
          <w:sz w:val="32"/>
          <w:szCs w:val="32"/>
          <w:lang w:val="en-US" w:eastAsia="zh-CN"/>
        </w:rPr>
        <w:t>659</w:t>
      </w:r>
      <w:r>
        <w:rPr>
          <w:rFonts w:hint="eastAsia" w:ascii="仿宋_GB2312" w:hAnsi="仿宋_GB2312" w:eastAsia="仿宋_GB2312" w:cs="仿宋_GB2312"/>
          <w:sz w:val="32"/>
          <w:szCs w:val="32"/>
          <w:lang w:eastAsia="zh-CN"/>
        </w:rPr>
        <w:t>件</w:t>
      </w:r>
      <w:r>
        <w:rPr>
          <w:rFonts w:hint="eastAsia" w:ascii="仿宋_GB2312" w:hAnsi="仿宋_GB2312" w:eastAsia="仿宋_GB2312" w:cs="仿宋_GB2312"/>
          <w:sz w:val="32"/>
          <w:szCs w:val="32"/>
          <w:lang w:val="en-US" w:eastAsia="zh-CN"/>
        </w:rPr>
        <w:t>。扎实开展命案防范三年攻坚行动，</w:t>
      </w:r>
      <w:r>
        <w:rPr>
          <w:rFonts w:hint="eastAsia" w:ascii="仿宋_GB2312" w:hAnsi="仿宋_GB2312" w:eastAsia="仿宋_GB2312" w:cs="仿宋_GB2312"/>
          <w:sz w:val="32"/>
          <w:szCs w:val="32"/>
        </w:rPr>
        <w:t>命案</w:t>
      </w:r>
      <w:r>
        <w:rPr>
          <w:rFonts w:hint="eastAsia" w:ascii="仿宋_GB2312" w:hAnsi="仿宋_GB2312" w:eastAsia="仿宋_GB2312" w:cs="仿宋_GB2312"/>
          <w:sz w:val="32"/>
          <w:szCs w:val="32"/>
          <w:lang w:val="en-US" w:eastAsia="zh-CN"/>
        </w:rPr>
        <w:t>发生率同比下降67%，破2起20年以上命案积案。破获性侵未</w:t>
      </w:r>
      <w:r>
        <w:rPr>
          <w:rFonts w:hint="eastAsia" w:ascii="仿宋_GB2312" w:hAnsi="仿宋_GB2312" w:eastAsia="仿宋_GB2312" w:cs="仿宋_GB2312"/>
          <w:sz w:val="32"/>
          <w:szCs w:val="32"/>
          <w:lang w:eastAsia="zh-CN"/>
        </w:rPr>
        <w:t>成年人</w:t>
      </w:r>
      <w:r>
        <w:rPr>
          <w:rFonts w:hint="eastAsia" w:ascii="仿宋_GB2312" w:hAnsi="仿宋_GB2312" w:eastAsia="仿宋_GB2312" w:cs="仿宋_GB2312"/>
          <w:sz w:val="32"/>
          <w:szCs w:val="32"/>
          <w:lang w:val="en-US" w:eastAsia="zh-CN"/>
        </w:rPr>
        <w:t>案件12</w:t>
      </w:r>
      <w:r>
        <w:rPr>
          <w:rFonts w:hint="eastAsia" w:ascii="仿宋_GB2312" w:hAnsi="仿宋_GB2312" w:eastAsia="仿宋_GB2312" w:cs="仿宋_GB2312"/>
          <w:sz w:val="32"/>
          <w:szCs w:val="32"/>
        </w:rPr>
        <w:t>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现行发案趋势得到有效控制。开展打击整治养老诈骗专项行动，共破刑事案件5起，</w:t>
      </w:r>
      <w:r>
        <w:rPr>
          <w:rFonts w:hint="eastAsia" w:ascii="仿宋_GB2312" w:hAnsi="仿宋_GB2312" w:eastAsia="仿宋_GB2312" w:cs="仿宋_GB2312"/>
          <w:sz w:val="32"/>
          <w:szCs w:val="32"/>
        </w:rPr>
        <w:t>刑拘</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w:t>
      </w:r>
    </w:p>
    <w:p w14:paraId="48B826F0">
      <w:pPr>
        <w:shd w:val="clear" w:color="auto" w:fill="FFFFFF"/>
        <w:spacing w:line="580" w:lineRule="exact"/>
        <w:ind w:firstLine="640" w:firstLineChars="200"/>
        <w:textAlignment w:val="baseline"/>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一年来，擦亮了多张品牌，社会治理更有效。全面推进市域社会治理现代化试点创建，延伸实施社会治理“五聚焦五治理”三年行动。</w:t>
      </w:r>
      <w:r>
        <w:rPr>
          <w:rFonts w:hint="eastAsia" w:ascii="仿宋_GB2312" w:hAnsi="仿宋_GB2312" w:eastAsia="仿宋_GB2312" w:cs="仿宋_GB2312"/>
          <w:sz w:val="32"/>
          <w:szCs w:val="32"/>
          <w:lang w:eastAsia="zh-CN"/>
        </w:rPr>
        <w:t>推动“雪亮工程”升级版建设，</w:t>
      </w:r>
      <w:r>
        <w:rPr>
          <w:rFonts w:hint="eastAsia" w:ascii="仿宋_GB2312" w:hAnsi="仿宋_GB2312" w:eastAsia="仿宋_GB2312" w:cs="仿宋_GB2312"/>
          <w:sz w:val="32"/>
          <w:szCs w:val="32"/>
          <w:lang w:val="en-US" w:eastAsia="zh-CN"/>
        </w:rPr>
        <w:t>新建</w:t>
      </w:r>
      <w:r>
        <w:rPr>
          <w:rFonts w:hint="eastAsia" w:ascii="仿宋_GB2312" w:hAnsi="仿宋_GB2312" w:eastAsia="仿宋_GB2312" w:cs="仿宋_GB2312"/>
          <w:sz w:val="32"/>
          <w:szCs w:val="32"/>
        </w:rPr>
        <w:t>视频监控点475路，人脸识别系统100路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新增入网社会监控视频点1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00多路。</w:t>
      </w:r>
      <w:r>
        <w:rPr>
          <w:rFonts w:hint="eastAsia" w:ascii="仿宋_GB2312" w:hAnsi="仿宋_GB2312" w:eastAsia="仿宋_GB2312" w:cs="仿宋_GB2312"/>
          <w:sz w:val="32"/>
          <w:szCs w:val="32"/>
          <w:lang w:val="en-US" w:eastAsia="zh-CN"/>
        </w:rPr>
        <w:t>常态化开展政法“五老”调解、农村</w:t>
      </w:r>
      <w:r>
        <w:rPr>
          <w:rFonts w:hint="eastAsia" w:ascii="仿宋_GB2312" w:hAnsi="仿宋_GB2312" w:eastAsia="仿宋_GB2312" w:cs="仿宋_GB2312"/>
          <w:sz w:val="32"/>
          <w:szCs w:val="32"/>
          <w:lang w:eastAsia="zh-CN"/>
        </w:rPr>
        <w:t>片区警务</w:t>
      </w:r>
      <w:r>
        <w:rPr>
          <w:rFonts w:hint="eastAsia" w:ascii="仿宋_GB2312" w:hAnsi="仿宋_GB2312" w:eastAsia="仿宋_GB2312" w:cs="仿宋_GB2312"/>
          <w:sz w:val="32"/>
          <w:szCs w:val="32"/>
          <w:lang w:val="en-US" w:eastAsia="zh-CN"/>
        </w:rPr>
        <w:t>和村级月例会，</w:t>
      </w:r>
      <w:r>
        <w:rPr>
          <w:rFonts w:hint="eastAsia" w:ascii="仿宋_GB2312" w:hAnsi="仿宋_GB2312" w:eastAsia="仿宋_GB2312" w:cs="仿宋_GB2312"/>
          <w:sz w:val="32"/>
          <w:szCs w:val="32"/>
          <w:lang w:val="en-US"/>
        </w:rPr>
        <w:t>组建道路交通、医疗纠纷等12个行业性专业性人民调解委员会，建成县乡两级“一站式”矛盾纠纷调处中心。</w:t>
      </w:r>
      <w:r>
        <w:rPr>
          <w:rFonts w:hint="eastAsia" w:ascii="仿宋_GB2312" w:hAnsi="仿宋_GB2312" w:eastAsia="仿宋_GB2312" w:cs="仿宋_GB2312"/>
          <w:sz w:val="32"/>
          <w:szCs w:val="32"/>
          <w:lang w:val="en-US" w:eastAsia="zh-CN"/>
        </w:rPr>
        <w:t xml:space="preserve">县卫健局、横岭瑶族乡、清塘镇小塘村有望获评全市“平安单位”“平安乡镇”“平安村”创建示范单位。县农业农村局、县公安局经侦大队、濂溪街道有望获评全市2017-2025年平安建设先进集体。 </w:t>
      </w:r>
    </w:p>
    <w:p w14:paraId="77EEF3BE">
      <w:pPr>
        <w:shd w:val="clear" w:color="auto" w:fill="FFFFFF"/>
        <w:spacing w:line="58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年来，构建了多样环境，服务保障更有为。县乡两级党政机关和“一村一法律顾问”实现全覆盖。完成全县近五年规范性文件清理工作。市场监管、生态环境等“五大”重点执法领域综合执法体制改革顺利完成。完成省、市两级对我县法治建设实地督察任务。“八五”普法扎实推进。县人民法院获评全市法院立案信访工作先进单位、全市法院司法警务工作先进单位。</w:t>
      </w:r>
      <w:r>
        <w:rPr>
          <w:rFonts w:hint="eastAsia" w:ascii="仿宋_GB2312" w:hAnsi="仿宋_GB2312" w:eastAsia="仿宋_GB2312" w:cs="仿宋_GB2312"/>
          <w:sz w:val="32"/>
          <w:szCs w:val="32"/>
        </w:rPr>
        <w:t>县人民检察院</w:t>
      </w:r>
      <w:r>
        <w:rPr>
          <w:rFonts w:hint="eastAsia" w:ascii="仿宋_GB2312" w:hAnsi="仿宋_GB2312" w:eastAsia="仿宋_GB2312" w:cs="仿宋_GB2312"/>
          <w:sz w:val="32"/>
          <w:szCs w:val="32"/>
          <w:lang w:val="en-US" w:eastAsia="zh-CN"/>
        </w:rPr>
        <w:t>获评</w:t>
      </w:r>
      <w:r>
        <w:rPr>
          <w:rFonts w:hint="eastAsia" w:ascii="仿宋_GB2312" w:hAnsi="仿宋_GB2312" w:eastAsia="仿宋_GB2312" w:cs="仿宋_GB2312"/>
          <w:sz w:val="32"/>
          <w:szCs w:val="32"/>
        </w:rPr>
        <w:t>全市行政检察业务优秀基层检察院、全市公益诉讼检察业务优秀基层检察院。县公安局警务评议工作</w:t>
      </w:r>
      <w:r>
        <w:rPr>
          <w:rFonts w:hint="eastAsia" w:ascii="仿宋_GB2312" w:hAnsi="仿宋_GB2312" w:eastAsia="仿宋_GB2312" w:cs="仿宋_GB2312"/>
          <w:sz w:val="32"/>
          <w:szCs w:val="32"/>
          <w:lang w:eastAsia="zh-CN"/>
        </w:rPr>
        <w:t>综合排名</w:t>
      </w:r>
      <w:r>
        <w:rPr>
          <w:rFonts w:hint="eastAsia" w:ascii="仿宋_GB2312" w:hAnsi="仿宋_GB2312" w:eastAsia="仿宋_GB2312" w:cs="仿宋_GB2312"/>
          <w:sz w:val="32"/>
          <w:szCs w:val="32"/>
        </w:rPr>
        <w:t>全市第</w:t>
      </w:r>
      <w:r>
        <w:rPr>
          <w:rFonts w:hint="eastAsia" w:ascii="仿宋_GB2312" w:hAnsi="仿宋_GB2312" w:eastAsia="仿宋_GB2312" w:cs="仿宋_GB2312"/>
          <w:sz w:val="32"/>
          <w:szCs w:val="32"/>
          <w:lang w:val="en-US" w:eastAsia="zh-CN"/>
        </w:rPr>
        <w:t>1位，</w:t>
      </w:r>
      <w:r>
        <w:rPr>
          <w:rFonts w:hint="eastAsia" w:ascii="仿宋_GB2312" w:hAnsi="仿宋_GB2312" w:eastAsia="仿宋_GB2312" w:cs="仿宋_GB2312"/>
          <w:sz w:val="32"/>
          <w:szCs w:val="32"/>
        </w:rPr>
        <w:t>获评全市公安机关绩效考核优秀单位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清塘镇陈熊村、寿雁镇水源头村获评省级民主法治示范村。县关心下一代工作委员会获评全国青少年普法教育先进集体。</w:t>
      </w:r>
    </w:p>
    <w:p w14:paraId="6D2DA260">
      <w:pPr>
        <w:shd w:val="clear" w:color="auto" w:fill="FFFFFF"/>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一年来，深化了多项改革，司法为民更有度。县委政法委牵头组建了县法律专家人才库；强化执法监督，</w:t>
      </w:r>
      <w:r>
        <w:rPr>
          <w:rFonts w:hint="eastAsia" w:ascii="仿宋_GB2312" w:hAnsi="仿宋_GB2312" w:eastAsia="仿宋_GB2312" w:cs="仿宋_GB2312"/>
          <w:sz w:val="32"/>
          <w:szCs w:val="32"/>
        </w:rPr>
        <w:t>对性侵未成年人犯罪</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案件</w:t>
      </w:r>
      <w:r>
        <w:rPr>
          <w:rFonts w:hint="eastAsia" w:ascii="仿宋_GB2312" w:hAnsi="仿宋_GB2312" w:eastAsia="仿宋_GB2312" w:cs="仿宋_GB2312"/>
          <w:sz w:val="32"/>
          <w:szCs w:val="32"/>
          <w:lang w:val="en-US" w:eastAsia="zh-CN"/>
        </w:rPr>
        <w:t>专项</w:t>
      </w:r>
      <w:r>
        <w:rPr>
          <w:rFonts w:hint="eastAsia" w:ascii="仿宋_GB2312" w:hAnsi="仿宋_GB2312" w:eastAsia="仿宋_GB2312" w:cs="仿宋_GB2312"/>
          <w:sz w:val="32"/>
          <w:szCs w:val="32"/>
        </w:rPr>
        <w:t>评查，</w:t>
      </w:r>
      <w:r>
        <w:rPr>
          <w:rFonts w:hint="eastAsia" w:ascii="仿宋_GB2312" w:hAnsi="仿宋_GB2312" w:eastAsia="仿宋_GB2312" w:cs="仿宋_GB2312"/>
          <w:sz w:val="32"/>
          <w:szCs w:val="32"/>
          <w:lang w:val="en-US" w:eastAsia="zh-CN"/>
        </w:rPr>
        <w:t>移送问题线索6件，处理处分6人。县法院推行随机分案制度，减少案件流转环节；构建简繁分流机制，适用刑事速裁程序办结案件328件401人。县检察院加强未成年人综合司法保护，建成未成年人“一站式关爱中心”；深化宽严相济刑事政策，适用认罪认罚从宽制度办结案件844件1074人。县公安局</w:t>
      </w:r>
      <w:r>
        <w:rPr>
          <w:rFonts w:hint="eastAsia" w:ascii="仿宋_GB2312" w:hAnsi="仿宋_GB2312" w:eastAsia="仿宋_GB2312" w:cs="仿宋_GB2312"/>
          <w:sz w:val="32"/>
          <w:szCs w:val="32"/>
        </w:rPr>
        <w:t>建立“信息化战略支援部队”，</w:t>
      </w:r>
      <w:r>
        <w:rPr>
          <w:rFonts w:hint="eastAsia" w:ascii="仿宋_GB2312" w:hAnsi="仿宋_GB2312" w:eastAsia="仿宋_GB2312" w:cs="仿宋_GB2312"/>
          <w:sz w:val="32"/>
          <w:szCs w:val="32"/>
          <w:lang w:val="en-US" w:eastAsia="zh-CN"/>
        </w:rPr>
        <w:t>提升</w:t>
      </w:r>
      <w:r>
        <w:rPr>
          <w:rFonts w:hint="eastAsia" w:ascii="仿宋_GB2312" w:hAnsi="仿宋_GB2312" w:eastAsia="仿宋_GB2312" w:cs="仿宋_GB2312"/>
          <w:sz w:val="32"/>
          <w:szCs w:val="32"/>
        </w:rPr>
        <w:t>整体</w:t>
      </w:r>
      <w:r>
        <w:rPr>
          <w:rFonts w:hint="eastAsia" w:ascii="仿宋_GB2312" w:hAnsi="仿宋_GB2312" w:eastAsia="仿宋_GB2312" w:cs="仿宋_GB2312"/>
          <w:sz w:val="32"/>
          <w:szCs w:val="32"/>
          <w:lang w:val="en-US" w:eastAsia="zh-CN"/>
        </w:rPr>
        <w:t>办案</w:t>
      </w:r>
      <w:r>
        <w:rPr>
          <w:rFonts w:hint="eastAsia" w:ascii="仿宋_GB2312" w:hAnsi="仿宋_GB2312" w:eastAsia="仿宋_GB2312" w:cs="仿宋_GB2312"/>
          <w:sz w:val="32"/>
          <w:szCs w:val="32"/>
        </w:rPr>
        <w:t>能力。完成城南、东门、寿雁</w:t>
      </w:r>
      <w:r>
        <w:rPr>
          <w:rFonts w:hint="eastAsia" w:ascii="仿宋_GB2312" w:hAnsi="仿宋_GB2312" w:eastAsia="仿宋_GB2312" w:cs="仿宋_GB2312"/>
          <w:sz w:val="32"/>
          <w:szCs w:val="32"/>
          <w:lang w:val="en-US" w:eastAsia="zh-CN"/>
        </w:rPr>
        <w:t>等6</w:t>
      </w:r>
      <w:r>
        <w:rPr>
          <w:rFonts w:hint="eastAsia" w:ascii="仿宋_GB2312" w:hAnsi="仿宋_GB2312" w:eastAsia="仿宋_GB2312" w:cs="仿宋_GB2312"/>
          <w:sz w:val="32"/>
          <w:szCs w:val="32"/>
        </w:rPr>
        <w:t>个派出所</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执法办案管理中心提质改造。</w:t>
      </w:r>
      <w:r>
        <w:rPr>
          <w:rFonts w:hint="eastAsia" w:ascii="仿宋_GB2312" w:hAnsi="仿宋_GB2312" w:eastAsia="仿宋_GB2312" w:cs="仿宋_GB2312"/>
          <w:sz w:val="32"/>
          <w:szCs w:val="32"/>
          <w:lang w:val="en-US" w:eastAsia="zh-CN"/>
        </w:rPr>
        <w:t>全市最大的县级监管中心暨“三所合一”</w:t>
      </w:r>
      <w:r>
        <w:rPr>
          <w:rFonts w:hint="eastAsia" w:ascii="仿宋_GB2312" w:hAnsi="仿宋_GB2312" w:eastAsia="仿宋_GB2312" w:cs="仿宋_GB2312"/>
          <w:sz w:val="32"/>
          <w:szCs w:val="32"/>
        </w:rPr>
        <w:t>建成并投用。</w:t>
      </w:r>
      <w:r>
        <w:rPr>
          <w:rFonts w:hint="eastAsia" w:ascii="仿宋_GB2312" w:hAnsi="仿宋_GB2312" w:eastAsia="仿宋_GB2312" w:cs="仿宋_GB2312"/>
          <w:sz w:val="32"/>
          <w:szCs w:val="32"/>
          <w:lang w:val="en-US" w:eastAsia="zh-CN"/>
        </w:rPr>
        <w:t>县司法局启动智慧矫正中心建设，共接收社矫对象315人，无一人脱管漏管。</w:t>
      </w:r>
    </w:p>
    <w:p w14:paraId="54836BB3">
      <w:pPr>
        <w:shd w:val="clear" w:color="auto" w:fill="FFFFFF"/>
        <w:spacing w:line="58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年来，锤炼了多元能力，队伍建设更有劲。举行全县政法系统干部学习贯彻党的二十大精神暨政法业务专题培训班，召开政法系统述职评议大会，进一步筑牢政治忠诚。在全市率先完成政法干警交流轮岗，共调整政法干部4批205人，其中提拔重用科级干部51人，全面激发干警干事创业活力。中政委《长安》杂志对我县队伍建设经验予以推介。</w:t>
      </w:r>
    </w:p>
    <w:p w14:paraId="682BE2DA">
      <w:pPr>
        <w:shd w:val="clear" w:color="auto" w:fill="FFFFFF"/>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这些成绩的取得，关键在于习近平新时代中国特色社会主义思想科学指引，关键在于县委的正确领导，关键在于各级各部门和人民群众的大力支持，关键在于全县广大政法干警的担当作为、恪尽职守和无私奉献。在此，我代表县委、县委政法委，向全体政法干警及家属，向关心支持道县政法工作的有关部门和同志们表示衷心的感谢和崇高的敬意！</w:t>
      </w:r>
      <w:r>
        <w:rPr>
          <w:rFonts w:hint="eastAsia" w:ascii="仿宋_GB2312" w:hAnsi="仿宋_GB2312" w:eastAsia="仿宋_GB2312" w:cs="仿宋_GB2312"/>
          <w:sz w:val="32"/>
          <w:szCs w:val="32"/>
        </w:rPr>
        <w:t>　</w:t>
      </w:r>
    </w:p>
    <w:p w14:paraId="66F817DD">
      <w:pPr>
        <w:shd w:val="clear" w:color="auto" w:fill="FFFFFF"/>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五、评价结果</w:t>
      </w:r>
    </w:p>
    <w:p w14:paraId="203D1D18">
      <w:pPr>
        <w:shd w:val="clear" w:color="auto" w:fill="FFFFFF"/>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结合《部门整体支出绩效评价指标表》（见附件）的评价结果：9</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分,财政支出绩效为“优”。</w:t>
      </w:r>
    </w:p>
    <w:p w14:paraId="591911B4">
      <w:pPr>
        <w:shd w:val="clear" w:color="auto" w:fill="FFFFFF"/>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六、存在的主要问题</w:t>
      </w:r>
    </w:p>
    <w:p w14:paraId="4D0AA2F6">
      <w:pPr>
        <w:shd w:val="clear" w:color="auto" w:fill="FFFFFF"/>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预算编制具体项目的细化程度和精准度不够高，合理性有待进一步加强。资金使用效益有待进一步提高，绩效目标设立不够明确、细化和量化。</w:t>
      </w:r>
    </w:p>
    <w:p w14:paraId="198F6094">
      <w:pPr>
        <w:shd w:val="clear" w:color="auto" w:fill="FFFFFF"/>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七、改进措施和有关建议</w:t>
      </w:r>
    </w:p>
    <w:p w14:paraId="00C6134B">
      <w:pPr>
        <w:shd w:val="clear" w:color="auto" w:fill="FFFFFF"/>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（一）严格制度执行。要严格执行预算管理、支出开支、审批、报销等各项制度和程序，强化开支的计划性，最大限度的提高各项预算资金的使用效率。</w:t>
      </w:r>
    </w:p>
    <w:p w14:paraId="755428BF">
      <w:pPr>
        <w:shd w:val="clear" w:color="auto" w:fill="FFFFFF"/>
        <w:spacing w:line="580" w:lineRule="exact"/>
        <w:ind w:firstLine="640" w:firstLineChars="200"/>
        <w:textAlignment w:val="baseline"/>
        <w:rPr>
          <w:rFonts w:ascii="仿宋_GB2312" w:hAnsi="仿宋_GB2312" w:eastAsia="仿宋_GB2312" w:cs="仿宋_GB2312"/>
          <w:color w:val="2B2B2B"/>
          <w:sz w:val="32"/>
          <w:szCs w:val="32"/>
        </w:rPr>
      </w:pPr>
      <w:r>
        <w:rPr>
          <w:rFonts w:hint="eastAsia" w:ascii="仿宋_GB2312" w:hAnsi="仿宋_GB2312" w:eastAsia="仿宋_GB2312" w:cs="仿宋_GB2312"/>
          <w:sz w:val="32"/>
          <w:szCs w:val="32"/>
        </w:rPr>
        <w:t>（二）财务人员应加强学习财务知识，多进行调查研究，</w:t>
      </w:r>
      <w:r>
        <w:rPr>
          <w:rFonts w:hint="eastAsia" w:ascii="仿宋_GB2312" w:hAnsi="仿宋_GB2312" w:eastAsia="仿宋_GB2312" w:cs="仿宋_GB2312"/>
          <w:color w:val="2B2B2B"/>
          <w:sz w:val="32"/>
          <w:szCs w:val="32"/>
        </w:rPr>
        <w:t>钻研学习，因时制宜，更好地结合单位实际情况编制部门预算，提高预算编制的细化程度、精准度和合理性，从而提高资金的使用效率，减少年中追加。</w:t>
      </w:r>
    </w:p>
    <w:p w14:paraId="2B471A4D">
      <w:pPr>
        <w:pStyle w:val="5"/>
        <w:widowControl/>
        <w:spacing w:beforeAutospacing="0" w:after="105" w:afterAutospacing="0" w:line="580" w:lineRule="exact"/>
        <w:ind w:firstLine="640" w:firstLineChars="200"/>
        <w:textAlignment w:val="baseline"/>
        <w:rPr>
          <w:rFonts w:ascii="仿宋_GB2312" w:hAnsi="仿宋_GB2312" w:eastAsia="仿宋_GB2312" w:cs="仿宋_GB2312"/>
          <w:color w:val="2B2B2B"/>
          <w:sz w:val="32"/>
          <w:szCs w:val="32"/>
        </w:rPr>
      </w:pPr>
      <w:r>
        <w:rPr>
          <w:rFonts w:hint="eastAsia" w:ascii="仿宋_GB2312" w:hAnsi="仿宋_GB2312" w:eastAsia="仿宋_GB2312" w:cs="仿宋_GB2312"/>
          <w:color w:val="2B2B2B"/>
          <w:sz w:val="32"/>
          <w:szCs w:val="32"/>
        </w:rPr>
        <w:t>（三）单位要加强绩效目标设立、细化和量化工作的力度，进一步提高资金使用效率。</w:t>
      </w:r>
    </w:p>
    <w:p w14:paraId="1216E82F">
      <w:pPr>
        <w:spacing w:line="560" w:lineRule="exact"/>
        <w:ind w:firstLine="640" w:firstLineChars="200"/>
        <w:textAlignment w:val="baseline"/>
        <w:rPr>
          <w:rFonts w:ascii="华文仿宋" w:hAnsi="华文仿宋" w:eastAsia="华文仿宋" w:cs="华文仿宋"/>
          <w:sz w:val="32"/>
          <w:szCs w:val="32"/>
        </w:rPr>
      </w:pPr>
    </w:p>
    <w:p w14:paraId="1525A694">
      <w:pPr>
        <w:ind w:firstLine="640" w:firstLineChars="200"/>
        <w:jc w:val="center"/>
        <w:textAlignment w:val="baseline"/>
        <w:rPr>
          <w:rFonts w:cs="黑体"/>
          <w:color w:val="000000"/>
          <w:sz w:val="32"/>
          <w:szCs w:val="32"/>
        </w:rPr>
      </w:pPr>
    </w:p>
    <w:p w14:paraId="4035978A">
      <w:pPr>
        <w:spacing w:line="220" w:lineRule="atLeast"/>
      </w:pPr>
    </w:p>
    <w:sectPr>
      <w:pgSz w:w="11906" w:h="16838"/>
      <w:pgMar w:top="1531" w:right="1757" w:bottom="1531" w:left="1757" w:header="851" w:footer="992" w:gutter="0"/>
      <w:cols w:space="0"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华文仿宋">
    <w:altName w:val="仿宋"/>
    <w:panose1 w:val="00000000000000000000"/>
    <w:charset w:val="86"/>
    <w:family w:val="auto"/>
    <w:pitch w:val="default"/>
    <w:sig w:usb0="00000000" w:usb1="00000000" w:usb2="00000010" w:usb3="00000000" w:csb0="000400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iN2VkYWQxYWZkYTljYWQ2YzBjNzk1MzdkMDAwNTAifQ=="/>
  </w:docVars>
  <w:rsids>
    <w:rsidRoot w:val="00D31D50"/>
    <w:rsid w:val="00160F73"/>
    <w:rsid w:val="001C66E0"/>
    <w:rsid w:val="00201185"/>
    <w:rsid w:val="00323B43"/>
    <w:rsid w:val="003D37D8"/>
    <w:rsid w:val="00426133"/>
    <w:rsid w:val="004358AB"/>
    <w:rsid w:val="00457BDE"/>
    <w:rsid w:val="0051439A"/>
    <w:rsid w:val="007A167C"/>
    <w:rsid w:val="00827119"/>
    <w:rsid w:val="008B7726"/>
    <w:rsid w:val="009E7321"/>
    <w:rsid w:val="00D31D50"/>
    <w:rsid w:val="00D77842"/>
    <w:rsid w:val="00E430DA"/>
    <w:rsid w:val="027F7B76"/>
    <w:rsid w:val="047C774D"/>
    <w:rsid w:val="077961C6"/>
    <w:rsid w:val="08161AF5"/>
    <w:rsid w:val="0F5F0397"/>
    <w:rsid w:val="11F50B3F"/>
    <w:rsid w:val="1B2B55D1"/>
    <w:rsid w:val="20DF05C6"/>
    <w:rsid w:val="21D90547"/>
    <w:rsid w:val="227E06DD"/>
    <w:rsid w:val="259726FA"/>
    <w:rsid w:val="28751860"/>
    <w:rsid w:val="33396570"/>
    <w:rsid w:val="37152F66"/>
    <w:rsid w:val="44E95A32"/>
    <w:rsid w:val="4D971271"/>
    <w:rsid w:val="574B60D8"/>
    <w:rsid w:val="5AFC7AFD"/>
    <w:rsid w:val="60956D42"/>
    <w:rsid w:val="615553C3"/>
    <w:rsid w:val="63690012"/>
    <w:rsid w:val="6D062D75"/>
    <w:rsid w:val="70FC24C5"/>
    <w:rsid w:val="75E8126A"/>
    <w:rsid w:val="79786DA9"/>
    <w:rsid w:val="7A070FFD"/>
    <w:rsid w:val="7B2965AD"/>
    <w:rsid w:val="7CF55DDE"/>
    <w:rsid w:val="7DA226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rPr>
      <w:rFonts w:ascii="Calibri" w:hAnsi="Calibri" w:eastAsia="宋体" w:cs="Times New Roman"/>
    </w:rPr>
  </w:style>
  <w:style w:type="paragraph" w:styleId="3">
    <w:name w:val="footer"/>
    <w:basedOn w:val="1"/>
    <w:link w:val="10"/>
    <w:semiHidden/>
    <w:unhideWhenUsed/>
    <w:qFormat/>
    <w:uiPriority w:val="99"/>
    <w:pPr>
      <w:tabs>
        <w:tab w:val="center" w:pos="4153"/>
        <w:tab w:val="right" w:pos="8306"/>
      </w:tabs>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jc w:val="center"/>
    </w:pPr>
    <w:rPr>
      <w:sz w:val="18"/>
      <w:szCs w:val="18"/>
    </w:rPr>
  </w:style>
  <w:style w:type="paragraph" w:styleId="5">
    <w:name w:val="Normal (Web)"/>
    <w:basedOn w:val="1"/>
    <w:qFormat/>
    <w:uiPriority w:val="0"/>
    <w:pPr>
      <w:widowControl w:val="0"/>
      <w:adjustRightInd/>
      <w:snapToGrid/>
      <w:spacing w:beforeAutospacing="1" w:after="0" w:afterAutospacing="1"/>
    </w:pPr>
    <w:rPr>
      <w:rFonts w:ascii="Times New Roman" w:hAnsi="Times New Roman" w:eastAsia="宋体" w:cs="Times New Roman"/>
      <w:sz w:val="24"/>
      <w:szCs w:val="24"/>
    </w:rPr>
  </w:style>
  <w:style w:type="character" w:styleId="8">
    <w:name w:val="Strong"/>
    <w:basedOn w:val="7"/>
    <w:qFormat/>
    <w:uiPriority w:val="22"/>
    <w:rPr>
      <w:b/>
    </w:rPr>
  </w:style>
  <w:style w:type="character" w:customStyle="1" w:styleId="9">
    <w:name w:val="页眉 Char"/>
    <w:basedOn w:val="7"/>
    <w:link w:val="4"/>
    <w:semiHidden/>
    <w:qFormat/>
    <w:uiPriority w:val="99"/>
    <w:rPr>
      <w:rFonts w:ascii="Tahoma" w:hAnsi="Tahoma"/>
      <w:sz w:val="18"/>
      <w:szCs w:val="18"/>
    </w:rPr>
  </w:style>
  <w:style w:type="character" w:customStyle="1" w:styleId="10">
    <w:name w:val="页脚 Char"/>
    <w:basedOn w:val="7"/>
    <w:link w:val="3"/>
    <w:semiHidden/>
    <w:qFormat/>
    <w:uiPriority w:val="99"/>
    <w:rPr>
      <w:rFonts w:ascii="Tahoma" w:hAnsi="Tahoma"/>
      <w:sz w:val="18"/>
      <w:szCs w:val="18"/>
    </w:rPr>
  </w:style>
  <w:style w:type="character" w:customStyle="1" w:styleId="11">
    <w:name w:val="NormalCharacter"/>
    <w:semiHidden/>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4172</Words>
  <Characters>4356</Characters>
  <Lines>22</Lines>
  <Paragraphs>6</Paragraphs>
  <TotalTime>169</TotalTime>
  <ScaleCrop>false</ScaleCrop>
  <LinksUpToDate>false</LinksUpToDate>
  <CharactersWithSpaces>4398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♛饿货，来颗士力架。</cp:lastModifiedBy>
  <dcterms:modified xsi:type="dcterms:W3CDTF">2026-09-07T08:58:05Z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1D1943B8B36245ED8D189F02E923169F_13</vt:lpwstr>
  </property>
  <property fmtid="{D5CDD505-2E9C-101B-9397-08002B2CF9AE}" pid="4" name="KSOTemplateDocerSaveRecord">
    <vt:lpwstr>eyJoZGlkIjoiNjRlMTBkNDRlZmM5YWUxOGJjNDJiMDQ1MzkwMTY0ZjYiLCJ1c2VySWQiOiIzNTI3NjUwMjYifQ==</vt:lpwstr>
  </property>
</Properties>
</file>