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华文仿宋" w:hAnsi="华文仿宋" w:eastAsia="华文仿宋" w:cs="华文仿宋"/>
          <w:b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道县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国有资产运营服务中心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9、一般公共预算基本支出表--人员经费(工资福利支出)(按政府预算经济分类)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10、一般公共预算基本支出表--人员经费(工资福利支出)(按部门预算经济分类)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11、一般公共预算基本支出表--人员经费(对个人和家庭的补助)(按政府预算经济分类)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12、一般公共预算基本支出表--人员经费(对个人和家庭的补助)（按部门预算经济分类）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13、一般公共预算基本支出表--公用经费(商品和服务支出)（按政府预算经济分类）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14、一般公共预算基本支出表--公用经费(商品和服务支出)(按部门预算经济分类)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21、专项资金预算汇总表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国有资产运营服务中心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中央、省、市有关国有资产运营管理的有关方针政策和部署要求，承担实施县属国有企业改革发展战略、发展规划、年度计划等方面的事务性服务性工作;承担县属国有企业设置、合并、撤分、重组、改制等国有资本优化布局，企业产业结构调整等方面的事务性工作;开展县属国有企业统计监测分析和经营业绩评价服务;负责县属国有企业管理机制体制创新、收入分配制度创新等方面的事务性服务性工作;建立和完善并考核国有资产保值增值指标体系；参与全县经营性国有资产权属的产权界定、登记、资产纠纷处理；完成县委、县政府交办的其他事项。</w:t>
      </w:r>
    </w:p>
    <w:p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本单位下设综合办公室、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规划发展与改革改制室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党建人事与社会责任室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产权管理与运营考核室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。现有工作人员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实际在岗4人，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财政局借调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国有资产运营服务中心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国有资产运营服务中心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本级。</w:t>
      </w:r>
      <w:bookmarkEnd w:id="2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" w:name="INCOME_BGT_CHART"/>
      <w:r>
        <w:rPr>
          <w:rFonts w:hint="eastAsia" w:ascii="仿宋_GB2312" w:hAnsi="仿宋_GB2312" w:eastAsia="仿宋_GB2312" w:cs="仿宋_GB2312"/>
          <w:sz w:val="32"/>
          <w:szCs w:val="32"/>
        </w:rPr>
        <w:t>（一）收入预算：202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年年初预算数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100.68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均为一般公共预算拨款收入。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（二）支出预算：202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年年初预算数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100.68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万元，其中，工资福利支出预算数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42.68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商品和服务支出预算数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，项目支出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3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基本支出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等日常工作运转经费。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1.工资福利支出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。全年工资福利预算支出共计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万元，绩效工资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津贴补贴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妇女卫生费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），年终奖励性工资（基础绩效奖）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万元，年终绩效（年终考核奖）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万元，基本医疗缴费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2.一般商品和服务支出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。指人平公用经费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万元，是按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在职在编核算的，用于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道县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国有资产运营服务中心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日常工作开支，包括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公务接待费、工会经费、福利费、其他交通费用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其他商品和服务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年项目支出年初预算数为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4个项目: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国有企业年度经营利润审计费用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全县国有“三资”清查处置与管理改革专项工作经费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行政事业单位国有资产网络维护费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国有企业项目分析论证费用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4" w:name="START_PAY_ZFXJJZC_AMT"/>
      <w:bookmarkEnd w:id="4"/>
      <w:bookmarkStart w:id="5" w:name="END_PAY_ZFXJJZC_AMT"/>
      <w:bookmarkEnd w:id="5"/>
      <w:bookmarkStart w:id="6" w:name="START_PAY_ZFXJJZC"/>
      <w:bookmarkEnd w:id="6"/>
      <w:bookmarkStart w:id="7" w:name="DIS_MARK_PAY_ZFXJJZC_AMT"/>
      <w:bookmarkEnd w:id="7"/>
      <w:bookmarkStart w:id="8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8"/>
      <w:bookmarkStart w:id="9" w:name="END_PAY_ZFXJJZC"/>
      <w:bookmarkEnd w:id="9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10" w:name="START_PAY_GYZBJYYSZC"/>
      <w:bookmarkEnd w:id="10"/>
      <w:bookmarkStart w:id="11" w:name="END_PAY_GYZBJYYSZC_AMT_ALL"/>
      <w:bookmarkEnd w:id="11"/>
      <w:bookmarkStart w:id="12" w:name="START_PAY_GYZBJYYSZC_AMT_ALL"/>
      <w:bookmarkEnd w:id="12"/>
      <w:bookmarkStart w:id="13" w:name="DIS_MARK_PAY_GYZBJYYSZC_AMT_ALL"/>
      <w:bookmarkEnd w:id="13"/>
      <w:bookmarkStart w:id="14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14"/>
      <w:bookmarkStart w:id="15" w:name="END_PAY_GYZBJYYSZC"/>
      <w:bookmarkEnd w:id="15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70" w:lineRule="atLeast"/>
        <w:ind w:firstLine="643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16" w:name="END_IS_ZERO_03_1"/>
      <w:bookmarkEnd w:id="16"/>
      <w:bookmarkStart w:id="17" w:name="START_IS_ZERO_03_2"/>
      <w:bookmarkEnd w:id="17"/>
      <w:bookmarkStart w:id="18" w:name="START_YES_JGYXJF"/>
      <w:bookmarkEnd w:id="18"/>
      <w:bookmarkStart w:id="19" w:name="DIS_MARK_NO_JGYXJF"/>
      <w:bookmarkEnd w:id="19"/>
      <w:bookmarkStart w:id="20" w:name="DIS_MARK_IS_ZERO_03_2"/>
      <w:bookmarkEnd w:id="20"/>
      <w:bookmarkStart w:id="21" w:name="YES_NO_JGYXJF"/>
      <w:bookmarkEnd w:id="21"/>
      <w:bookmarkStart w:id="22" w:name="START_NO_JGYXJF"/>
      <w:bookmarkEnd w:id="22"/>
      <w:bookmarkStart w:id="23" w:name="END_NO_JGYXJF"/>
      <w:bookmarkEnd w:id="23"/>
      <w:bookmarkStart w:id="24" w:name="END_IS_ZERO_03_2"/>
      <w:bookmarkEnd w:id="24"/>
      <w:bookmarkStart w:id="25" w:name="DIS_MARK_YES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26" w:name="START_JGYXJF_FUNDS_AMT1"/>
      <w:bookmarkEnd w:id="26"/>
      <w:bookmarkStart w:id="27" w:name="DIS_MARK_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End w:id="25"/>
      <w:bookmarkEnd w:id="27"/>
      <w:bookmarkStart w:id="28" w:name="END_YES_JGYXJF"/>
      <w:bookmarkEnd w:id="28"/>
      <w:bookmarkStart w:id="29" w:name="END_JGYXJF_FUNDS_AMT1"/>
      <w:bookmarkEnd w:id="29"/>
      <w:bookmarkStart w:id="30" w:name="START_PUNCTUATION_MARK2"/>
      <w:bookmarkEnd w:id="30"/>
      <w:bookmarkStart w:id="31" w:name="DIS_MARK_PUNCTUATION_MARK2"/>
      <w:bookmarkEnd w:id="31"/>
      <w:bookmarkStart w:id="32" w:name="END_PUNCTUATION_MARK2"/>
      <w:bookmarkEnd w:id="3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去年单位刚成立未做预算。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bookmarkStart w:id="33" w:name="END_IS_ZERO_06_1"/>
      <w:bookmarkEnd w:id="33"/>
      <w:bookmarkStart w:id="34" w:name="START_IS_ZERO_06_2"/>
      <w:bookmarkEnd w:id="34"/>
      <w:bookmarkStart w:id="35" w:name="DIS_MARK_IS_ZERO_06_2"/>
      <w:bookmarkEnd w:id="35"/>
      <w:bookmarkStart w:id="36" w:name="END_IS_ZERO_06_2"/>
      <w:bookmarkEnd w:id="36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万元，因公出国（境）费 0万元。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bookmarkStart w:id="37" w:name="END_NO"/>
      <w:bookmarkEnd w:id="37"/>
      <w:bookmarkStart w:id="38" w:name="END_YES"/>
      <w:bookmarkEnd w:id="38"/>
      <w:bookmarkStart w:id="39" w:name="END_PUNCTUATION_MARK1"/>
      <w:bookmarkEnd w:id="39"/>
      <w:bookmarkStart w:id="40" w:name="START_NO"/>
      <w:bookmarkEnd w:id="40"/>
      <w:bookmarkStart w:id="41" w:name="DIS_MARK_YES_HD_DETAIL"/>
      <w:bookmarkEnd w:id="41"/>
      <w:bookmarkStart w:id="42" w:name="DIS_MARK_NO"/>
      <w:bookmarkEnd w:id="42"/>
      <w:bookmarkStart w:id="43" w:name="YES_NO_HD_DETAIL"/>
      <w:bookmarkEnd w:id="43"/>
      <w:bookmarkStart w:id="44" w:name="END_YES_HD_DETAIL"/>
      <w:bookmarkEnd w:id="44"/>
      <w:bookmarkStart w:id="45" w:name="START_YES_HD_DETAIL"/>
      <w:bookmarkEnd w:id="45"/>
      <w:bookmarkStart w:id="46" w:name="DIS_MARK_PUNCTUATION_MARK1"/>
      <w:bookmarkEnd w:id="46"/>
      <w:bookmarkStart w:id="47" w:name="START_PUNCTUATION_MARK1"/>
      <w:bookmarkEnd w:id="47"/>
      <w:bookmarkStart w:id="48" w:name="HD_DETAIL"/>
      <w:bookmarkEnd w:id="4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49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50" w:name="END_MEET_FUNDS_AMT"/>
      <w:bookmarkEnd w:id="50"/>
      <w:bookmarkStart w:id="51" w:name="MEET_FUNDS_HYNR"/>
      <w:bookmarkEnd w:id="51"/>
      <w:bookmarkStart w:id="52" w:name="DIS_MARK_MEET_FUNDS_AMT"/>
      <w:bookmarkEnd w:id="52"/>
      <w:bookmarkStart w:id="53" w:name="START_MEET_FUNDS_AMT"/>
      <w:bookmarkEnd w:id="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54" w:name="START_TRAIN_FUNDS"/>
      <w:bookmarkEnd w:id="54"/>
      <w:bookmarkStart w:id="55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56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57" w:name="START_TRAIN_FUNDS_AMT"/>
      <w:bookmarkEnd w:id="57"/>
      <w:bookmarkStart w:id="58" w:name="TRAIN_FUNDS_PXNR"/>
      <w:bookmarkEnd w:id="58"/>
      <w:bookmarkStart w:id="59" w:name="DIS_MARK_TRAIN_FUNDS_AMT"/>
      <w:bookmarkEnd w:id="59"/>
      <w:bookmarkStart w:id="60" w:name="END_TRAIN_FUNDS_AMT"/>
      <w:bookmarkEnd w:id="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55"/>
      <w:bookmarkStart w:id="61" w:name="YES_NO"/>
      <w:bookmarkEnd w:id="61"/>
      <w:bookmarkStart w:id="62" w:name="DIS_MARK_YES"/>
      <w:bookmarkEnd w:id="62"/>
      <w:bookmarkStart w:id="63" w:name="END_TRAIN_FUNDS"/>
      <w:bookmarkEnd w:id="63"/>
      <w:bookmarkStart w:id="64" w:name="START_YES"/>
      <w:bookmarkEnd w:id="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个项目支出涉及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国有企业年度经营利润审计费用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国有企业项目分析论证费用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6万元。均采购评审咨询服务。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65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66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67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68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69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70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71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72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73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74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75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76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77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78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79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80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8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国有企业年度经营利润审计费用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通过专业会计事务机构对6家国有企业进行审计，审计结果运用于国有企业薪酬考核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全县国有“三资”清查处置与管理改革专项工作经费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绩效目标为：完成全县国有“三资”清查处置与管理改革专项工作经费，含用于第三方机构测绘、评估、挂网等费用。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行政事业单位国有资产网络维护费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6万元。绩效目标为：完成年报、月报、智慧国资系统维护费用。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国有企业项目分析论证费用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6万元。绩效目标为：对县属国有企业投融资等重大事项项目分析论证费用。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81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bookmarkEnd w:id="8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附件：道县国有资产运营服务中心2024</w:t>
      </w:r>
      <w:bookmarkStart w:id="82" w:name="_GoBack"/>
      <w:bookmarkEnd w:id="8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年预算公开表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3BFD2"/>
    <w:multiLevelType w:val="singleLevel"/>
    <w:tmpl w:val="C4F3BF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</w:docVars>
  <w:rsids>
    <w:rsidRoot w:val="002040EE"/>
    <w:rsid w:val="002040EE"/>
    <w:rsid w:val="317438E4"/>
    <w:rsid w:val="360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2808</Words>
  <Characters>2967</Characters>
  <Lines>0</Lines>
  <Paragraphs>0</Paragraphs>
  <TotalTime>0</TotalTime>
  <ScaleCrop>false</ScaleCrop>
  <LinksUpToDate>false</LinksUpToDate>
  <CharactersWithSpaces>2977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2024-05-30T07:50:00Z</dcterms:created>
  <dc:creator>Administrator</dc:creator>
  <cp:lastModifiedBy>Lenovo</cp:lastModifiedBy>
  <dcterms:modified xsi:type="dcterms:W3CDTF">2024-05-31T03:24:32Z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D5115F2AFCA742219FC48AF3FF816F49_11</vt:lpwstr>
  </property>
</Properties>
</file>