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78C8F">
      <w:pPr>
        <w:pStyle w:val="2"/>
        <w:jc w:val="left"/>
        <w:rPr>
          <w:rFonts w:ascii="方正公文小标宋" w:eastAsia="方正公文小标宋"/>
          <w:b w:val="0"/>
          <w:sz w:val="84"/>
          <w:szCs w:val="84"/>
          <w:lang w:eastAsia="zh-CN"/>
        </w:rPr>
      </w:pPr>
      <w:bookmarkStart w:id="12" w:name="_GoBack"/>
      <w:bookmarkEnd w:id="12"/>
    </w:p>
    <w:p w14:paraId="7A7AB24C">
      <w:pPr>
        <w:pStyle w:val="2"/>
        <w:jc w:val="left"/>
        <w:rPr>
          <w:rFonts w:ascii="方正公文小标宋" w:eastAsia="方正公文小标宋"/>
          <w:b w:val="0"/>
          <w:sz w:val="84"/>
          <w:szCs w:val="84"/>
          <w:lang w:eastAsia="zh-CN"/>
        </w:rPr>
      </w:pPr>
    </w:p>
    <w:p w14:paraId="0D767C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湖南省永州市道县仙子脚镇</w:t>
      </w:r>
    </w:p>
    <w:p w14:paraId="51A58C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65101FF">
      <w:pPr>
        <w:rPr>
          <w:rFonts w:ascii="方正公文小标宋" w:eastAsia="方正公文小标宋"/>
          <w:sz w:val="84"/>
          <w:szCs w:val="84"/>
          <w:lang w:eastAsia="zh-CN"/>
        </w:rPr>
      </w:pPr>
    </w:p>
    <w:p w14:paraId="59BB9964">
      <w:pPr>
        <w:rPr>
          <w:rFonts w:ascii="方正公文小标宋" w:eastAsia="方正公文小标宋"/>
          <w:sz w:val="84"/>
          <w:szCs w:val="84"/>
          <w:lang w:eastAsia="zh-CN"/>
        </w:rPr>
      </w:pPr>
    </w:p>
    <w:p w14:paraId="27DE95B1">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5346C8">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52F27CCD">
      <w:pPr>
        <w:pageBreakBefore w:val="0"/>
        <w:widowControl/>
        <w:wordWrap/>
        <w:overflowPunct/>
        <w:topLinePunct w:val="0"/>
        <w:bidi w:val="0"/>
        <w:spacing w:line="480" w:lineRule="auto"/>
        <w:rPr>
          <w:rFonts w:hint="eastAsia"/>
          <w:lang w:val="zh-CN"/>
        </w:rPr>
      </w:pPr>
    </w:p>
    <w:p w14:paraId="7FB0B386">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7A77A5F5">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7C839B34">
      <w:pPr>
        <w:pStyle w:val="7"/>
        <w:pageBreakBefore w:val="0"/>
        <w:widowControl/>
        <w:wordWrap/>
        <w:overflowPunct/>
        <w:topLinePunct w:val="0"/>
        <w:bidi w:val="0"/>
        <w:spacing w:line="480" w:lineRule="auto"/>
        <w:jc w:val="distribute"/>
        <w:rPr>
          <w:rFonts w:hint="default" w:cs="Times New Roman"/>
          <w:b/>
          <w:bCs/>
          <w:lang w:val="en-US"/>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p w14:paraId="27B15A2E">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2AC73D2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99CDF1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C7C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29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269B7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F62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AAEDF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9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71792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8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F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2BFB1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B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F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2F7C64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4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05C4D2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D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C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6E50E8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2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7EA49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5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772843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A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50FC01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D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601A60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4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69982C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C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9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2C9C04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1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17CCC7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BCD21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C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72BA6A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5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9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4B8394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F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9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036E6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C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B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2BFF4B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723A85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9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705205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1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50FCFC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C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A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2EE2F3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E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5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5C51A9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5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1C6043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B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1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33A710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7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552294E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5C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30B6C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5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653E36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F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263FAA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5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1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76A116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B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171EBD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B90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0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644D5F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7A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3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793B6D8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D0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0524A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7C8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9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5C777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078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C3DF8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EF8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1F0B9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69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F978C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C8D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11CC6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4F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133CD6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55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1C6BF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F64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4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5820F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11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4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0C4DAC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49A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C478C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D8A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9885F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27A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6E6976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1B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747BF31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CDB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7ADF47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810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9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1949E0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68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349A85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A90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8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71312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BF4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7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7E5B5E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392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3A4B7E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4E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1A59E6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D1F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7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02500D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599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4794EE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546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6DD74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5EC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058D66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9F4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4B92D0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69D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4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4AC420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E9A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0E16A6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389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2E58C7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D3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1DF479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7CA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7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3F45B7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165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1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1C86D0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83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5A0E58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8AA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7B473C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70E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7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做好产业发展规划，发展马蹄、奈李、早春桃、油茶、脐橙、葡萄等特色种植产业。</w:t>
            </w:r>
          </w:p>
        </w:tc>
      </w:tr>
      <w:tr w14:paraId="5B23DB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11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服务稻之源米业建设，大力发展大米加工产业。</w:t>
            </w:r>
          </w:p>
        </w:tc>
      </w:tr>
      <w:tr w14:paraId="12397C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876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EE826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26A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133DE63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5B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9BE81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52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9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06C45C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708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43F7BA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6A5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3B62924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2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54319F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BA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4CC849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F065">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5D7111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AE7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7F0B74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039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2BCCA6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E2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747017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6D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454DAF3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648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457028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BB2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36CF17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EB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70F625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C90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3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5806A2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F40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F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4BCD7F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DC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639E1E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290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3C51E1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C10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13F2C5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D0F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7D887DC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DD5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B63D7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CE9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A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1F88DE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EA4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300EB6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4E5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6423DF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9D4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1B6DDA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96A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2DAC71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12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9046A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D44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158542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73D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42212EB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1BD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69CCE7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1C1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3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337C0E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517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22D83ED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6C6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770281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FB6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558FD1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13E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A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3BD9C0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08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718D0B4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36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312592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EB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7BCA63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C6D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6EE93D0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058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4098E4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4FE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4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6E9DD98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CE0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458700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07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4A1F9F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EFF">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4FEC7D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55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6E82C8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781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1AE91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F1B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761A19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8A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694C00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313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40A18D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8F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52F715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333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0A8ED7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480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12345政务服务便民热线等平台转办涉及本镇职权范围内的事项。</w:t>
            </w:r>
          </w:p>
        </w:tc>
      </w:tr>
      <w:tr w14:paraId="6B7089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BA2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1DF769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0B4C2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47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887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414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8A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250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35C3E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15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3D43D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2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5D6DA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1ED87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0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B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57166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2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699AA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1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3109E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C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5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594F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4939E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4273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27B02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D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7AB5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6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CAD2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A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3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1827C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2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63D1F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D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5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582A0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517AA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1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3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42137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76A35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79BE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D4B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67D7A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6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F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43BC9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C3E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6E7BC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D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9B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25E13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F8B80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6B88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35B7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436A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CF5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5BB809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6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29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E5B8D1D">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（牵头）
</w:t>
            </w:r>
            <w:r>
              <w:rPr>
                <w:rFonts w:hint="eastAsia" w:ascii="Times New Roman" w:hAnsi="方正公文仿宋" w:eastAsia="方正公文仿宋"/>
                <w:kern w:val="0"/>
                <w:szCs w:val="21"/>
                <w:lang w:val="en-US" w:eastAsia="zh-CN" w:bidi="ar"/>
              </w:rPr>
              <w:t>.</w:t>
            </w:r>
          </w:p>
          <w:p w14:paraId="08DD0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8524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E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2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91D8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06DCE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EE2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2CB25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6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0E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CC59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F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330CF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1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03710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E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F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21879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8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3D1E3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5D8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CE83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D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0764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A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6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6DD19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E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6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5459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B7D6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0D863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1C8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5DF70C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381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2B230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2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87B8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1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6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3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5A74F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4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B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DC83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42294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县卫健局
</w:t>
            </w:r>
          </w:p>
          <w:p w14:paraId="5E89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B93E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3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E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ED410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40B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5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54E1E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4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0620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9426C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D4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AEA9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7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BD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FDA4B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9767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520C9A7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县检察院
</w:t>
            </w:r>
            <w:r>
              <w:rPr>
                <w:rFonts w:hint="eastAsia" w:ascii="Times New Roman" w:hAnsi="方正公文仿宋" w:eastAsia="方正公文仿宋"/>
                <w:kern w:val="0"/>
                <w:szCs w:val="21"/>
                <w:lang w:val="en-US" w:eastAsia="zh-CN" w:bidi="ar"/>
              </w:rPr>
              <w:t>.</w:t>
            </w:r>
          </w:p>
          <w:p w14:paraId="563016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FD52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BAF98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7D2A2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697BCC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F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1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0777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D935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B72E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08597D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58D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6DFF1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F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021A6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FA4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3F45C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E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D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F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2F2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979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7AB2F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3942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E31B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2109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27EC5F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F9B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2B7D10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A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D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110E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2B4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E261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C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8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117504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B2A4D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1F047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6A53F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13B8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1FEAB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3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3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35CF8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1207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985A5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w:t>
            </w:r>
          </w:p>
          <w:p w14:paraId="176354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102DB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FD0BE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15544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A7C35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BD1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422BE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5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4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5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31A2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1CCD6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E9C86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404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52E6A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C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5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C503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3DCD4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14:paraId="716A5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20A4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6C281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8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0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74DD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1F7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A27A7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27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789DF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69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1E266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5CAA0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19F4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B0A4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F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46AAF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9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0EB2F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5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A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4E9E7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786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239C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B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9F08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51344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BB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07E1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0D2D2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1DE9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8D4BA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821C9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6B3B77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351825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463A6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4B06A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387D6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5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4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CC237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3CD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543C35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06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13F7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586C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F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8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666B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5F0632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E1B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620F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114A4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9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41BA1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3DA49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E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2D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C5F41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FB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41F85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7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C0B6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2A79B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8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2D04B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546D16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92D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328A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1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A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3E645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3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A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4D97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40D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200B5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6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FF44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EDE06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C6E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B251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D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D3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00917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E064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3A8E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F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2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1877D8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44C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03DE8A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8D8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0543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E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4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0377A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03970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2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8BF9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F5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3D71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596BE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AAB5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3A9D6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02299E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06CB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6009D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7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7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45718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1CD6B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7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62E1D9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56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941C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8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C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CA00B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CCF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691464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6BB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7197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3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7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5AF75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2DC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1468F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3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10563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6A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57F9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076555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78C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66416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B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A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24F4F8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2D8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13157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6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2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C1647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1F3E5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F7016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8350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FCEBA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F708A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252B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712E0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2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6EFF7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F4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E0D3E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63CAB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66CDC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DFCD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县文旅广体局
</w:t>
            </w:r>
          </w:p>
          <w:p w14:paraId="52B7B3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3CEA2F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06B6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8534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9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2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9D31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7CC01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366E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EB88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225DE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1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B9F0D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3A2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4FB5D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F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507C26E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84197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4E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4E9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C9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17A0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A50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CFFB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79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F90B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00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3636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287F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568AC0E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43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92F0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A2F6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A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6E539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23817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70BF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9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6D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3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66094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49157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610B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7413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9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8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0F528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D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5F4B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C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1268B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40A9A6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B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61F4B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40232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50C37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059D5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61CF8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A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7B8F2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E7A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1D6A8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AFD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6A8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97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73A3A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FD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CF7A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DB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601B7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CBE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03FF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547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D65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AB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6DD1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76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1BCA007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99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0EBD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90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6F027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591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1149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25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776D7E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74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8F4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153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7A57D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4A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0795E21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8C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8AD4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CD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508E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80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AD2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C9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7834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07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13572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77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27E01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65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BD6A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E3D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06DC0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53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2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656C8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64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7485C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7B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0320F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A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5A9E6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82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64BC0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03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33789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DD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9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470D9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5C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6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749C6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A9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1D55A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FC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0F427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2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67D97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52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783E6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52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1CA1CA9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BC1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104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F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0E16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0C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1B186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A5B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78347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D2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81EDA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96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C9C6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95C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6005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AB7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73D37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3B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F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2A87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DBF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62F76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DA1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9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7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2DBF4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A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069E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4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6AB108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9D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E2CB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AA2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775B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809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56F2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B0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3667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300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19ADD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1B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76579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F2C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443C4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D43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2A90D8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C62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3B008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58F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3557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95C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15FD5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C3E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524AE4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BD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342B2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DE8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4B4C3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26C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B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692B5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C4B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B95D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90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3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248FB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44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1BFBE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52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7D97B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374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65D06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1C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257C8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A9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3F1AA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95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4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305C0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27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271B4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8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699CB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75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5BA8E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E904">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4490D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EAA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1DA7B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A8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6F95F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9A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D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20F12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7A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4F48F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2E9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0AB3F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8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0BE0A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B9F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490B2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A8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0F506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F62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16BDAA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28D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37DD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20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1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33454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F8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358C2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999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D07FF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98E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1CC7E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92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0F59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24C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7A529118">
      <w:pPr>
        <w:pStyle w:val="3"/>
        <w:spacing w:before="0" w:after="0" w:line="240" w:lineRule="auto"/>
        <w:jc w:val="center"/>
        <w:rPr>
          <w:rFonts w:ascii="Times New Roman" w:hAnsi="Times New Roman" w:eastAsia="方正小标宋_GBK" w:cs="Times New Roman"/>
          <w:color w:val="auto"/>
          <w:spacing w:val="7"/>
          <w:lang w:eastAsia="zh-CN"/>
        </w:rPr>
      </w:pPr>
    </w:p>
    <w:p w14:paraId="25140D95">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942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F1C500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9u+70QAAAAMBAAAPAAAAAAAAAAEAIAAAACIAAABkcnMv&#10;ZG93bnJldi54bWxQSwECFAAUAAAACACHTuJA5IOLUAoCAAACBAAADgAAAAAAAAABACAAAAAgAQAA&#10;ZHJzL2Uyb0RvYy54bWxQSwUGAAAAAAYABgBZAQAAnAUAAAAA&#10;">
              <v:fill on="f" focussize="0,0"/>
              <v:stroke on="f"/>
              <v:imagedata o:title=""/>
              <o:lock v:ext="edit" aspectratio="f"/>
              <v:textbox inset="0mm,0mm,0mm,0mm" style="mso-fit-shape-to-text:t;">
                <w:txbxContent>
                  <w:p w14:paraId="6F1C500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BC29">
    <w:pPr>
      <w:pStyle w:val="5"/>
      <w:ind w:right="360" w:firstLine="360"/>
      <w:rPr>
        <w:rFonts w:ascii="宋体" w:hAnsi="宋体" w:eastAsia="宋体"/>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3050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42FC5B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0288;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9u+70QAAAAMBAAAPAAAAAAAAAAEAIAAAACIAAABkcnMv&#10;ZG93bnJldi54bWxQSwECFAAUAAAACACHTuJAFOns1QoCAAACBAAADgAAAAAAAAABACAAAAAgAQAA&#10;ZHJzL2Uyb0RvYy54bWxQSwUGAAAAAAYABgBZAQAAnAUAAAAA&#10;">
              <v:fill on="f" focussize="0,0"/>
              <v:stroke on="f"/>
              <v:imagedata o:title=""/>
              <o:lock v:ext="edit" aspectratio="f"/>
              <v:textbox inset="0mm,0mm,0mm,0mm" style="mso-fit-shape-to-text:t;">
                <w:txbxContent>
                  <w:p w14:paraId="342FC5BE">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5D3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EF03AD"/>
    <w:rsid w:val="00F24092"/>
    <w:rsid w:val="00F37E44"/>
    <w:rsid w:val="00F417B3"/>
    <w:rsid w:val="00FA2D9F"/>
    <w:rsid w:val="00FA6C61"/>
    <w:rsid w:val="00FC2FBD"/>
    <w:rsid w:val="00FD6B5A"/>
    <w:rsid w:val="505D3985"/>
    <w:rsid w:val="7FFF8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81</Words>
  <Characters>82</Characters>
  <Lines>1</Lines>
  <Paragraphs>1</Paragraphs>
  <TotalTime>1</TotalTime>
  <ScaleCrop>false</ScaleCrop>
  <LinksUpToDate>false</LinksUpToDate>
  <CharactersWithSpaces>84</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2025-07-11T16:35:29Z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eyJoZGlkIjoiMDdjNTkyOWE3MzhlZTY4NDRmNDM5ZjliNDQ3YThkY2IiLCJ1c2VySWQiOiI0NDM0MTI5MDYifQ==</vt:lpwstr>
  </property>
  <property fmtid="{D5CDD505-2E9C-101B-9397-08002B2CF9AE}" pid="3" name="KSOProductBuildVer">
    <vt:lpwstr>2052-12.8.2.1114</vt:lpwstr>
  </property>
  <property fmtid="{D5CDD505-2E9C-101B-9397-08002B2CF9AE}" pid="4" name="ICV">
    <vt:lpwstr>7F7161EF71E091B3D1CC706896D82E55_43</vt:lpwstr>
  </property>
</Properties>
</file>