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2D6ED">
      <w:pPr>
        <w:spacing w:before="40" w:line="196" w:lineRule="auto"/>
        <w:rPr>
          <w:rFonts w:ascii="Arial" w:hAnsi="Arial" w:eastAsia="Arial" w:cs="Arial"/>
          <w:sz w:val="27"/>
          <w:szCs w:val="27"/>
        </w:rPr>
      </w:pPr>
      <w:r>
        <w:rPr>
          <w:rFonts w:ascii="Arial" w:hAnsi="Arial" w:eastAsia="Arial" w:cs="Arial"/>
          <w:b/>
          <w:bCs/>
          <w:spacing w:val="-2"/>
          <w:sz w:val="27"/>
          <w:szCs w:val="27"/>
        </w:rPr>
        <w:t>DXDR-2025-00004</w:t>
      </w:r>
    </w:p>
    <w:p w14:paraId="61B91512">
      <w:pPr>
        <w:spacing w:line="348" w:lineRule="auto"/>
        <w:rPr>
          <w:rFonts w:ascii="Arial"/>
          <w:sz w:val="21"/>
        </w:rPr>
      </w:pPr>
    </w:p>
    <w:p w14:paraId="0AB092D6">
      <w:pPr>
        <w:spacing w:line="349" w:lineRule="auto"/>
        <w:rPr>
          <w:rFonts w:ascii="Arial"/>
          <w:sz w:val="21"/>
        </w:rPr>
      </w:pPr>
    </w:p>
    <w:p w14:paraId="464A215B">
      <w:pPr>
        <w:pStyle w:val="2"/>
        <w:spacing w:before="175" w:line="219" w:lineRule="auto"/>
        <w:ind w:left="4327"/>
        <w:rPr>
          <w:sz w:val="54"/>
          <w:szCs w:val="54"/>
        </w:rPr>
      </w:pPr>
      <w:r>
        <w:rPr>
          <w:b/>
          <w:bCs/>
          <w:spacing w:val="18"/>
          <w:sz w:val="54"/>
          <w:szCs w:val="54"/>
        </w:rPr>
        <w:t>道县人民政府</w:t>
      </w:r>
    </w:p>
    <w:p w14:paraId="08B6974E">
      <w:pPr>
        <w:pStyle w:val="2"/>
        <w:spacing w:before="153" w:line="219" w:lineRule="auto"/>
        <w:ind w:left="267"/>
        <w:rPr>
          <w:sz w:val="54"/>
          <w:szCs w:val="54"/>
        </w:rPr>
      </w:pPr>
      <w:r>
        <w:rPr>
          <w:b/>
          <w:bCs/>
          <w:spacing w:val="3"/>
          <w:sz w:val="54"/>
          <w:szCs w:val="54"/>
        </w:rPr>
        <w:t>关于严防未成年人在河道、水库、水渠、山塘等</w:t>
      </w:r>
    </w:p>
    <w:p w14:paraId="3534E43F">
      <w:pPr>
        <w:pStyle w:val="2"/>
        <w:spacing w:before="139" w:line="219" w:lineRule="auto"/>
        <w:ind w:left="3037"/>
        <w:rPr>
          <w:sz w:val="54"/>
          <w:szCs w:val="54"/>
        </w:rPr>
      </w:pPr>
      <w:r>
        <w:rPr>
          <w:b/>
          <w:bCs/>
          <w:spacing w:val="2"/>
          <w:sz w:val="54"/>
          <w:szCs w:val="54"/>
        </w:rPr>
        <w:t>危险水域进行涉水活动的</w:t>
      </w:r>
    </w:p>
    <w:p w14:paraId="24E8B434">
      <w:pPr>
        <w:pStyle w:val="2"/>
        <w:spacing w:before="187" w:line="218" w:lineRule="auto"/>
        <w:ind w:left="4510"/>
        <w:rPr>
          <w:sz w:val="74"/>
          <w:szCs w:val="74"/>
        </w:rPr>
      </w:pPr>
      <w:r>
        <w:rPr>
          <w:b/>
          <w:bCs/>
          <w:spacing w:val="-23"/>
          <w:sz w:val="74"/>
          <w:szCs w:val="74"/>
        </w:rPr>
        <w:t>通</w:t>
      </w:r>
      <w:r>
        <w:rPr>
          <w:spacing w:val="34"/>
          <w:sz w:val="74"/>
          <w:szCs w:val="74"/>
        </w:rPr>
        <w:t xml:space="preserve">    </w:t>
      </w:r>
      <w:r>
        <w:rPr>
          <w:b/>
          <w:bCs/>
          <w:spacing w:val="-23"/>
          <w:sz w:val="74"/>
          <w:szCs w:val="74"/>
        </w:rPr>
        <w:t>告</w:t>
      </w:r>
    </w:p>
    <w:p w14:paraId="17FC82F9">
      <w:pPr>
        <w:pStyle w:val="2"/>
        <w:spacing w:before="111" w:line="220" w:lineRule="auto"/>
        <w:ind w:left="4753"/>
      </w:pPr>
      <w:r>
        <w:rPr>
          <w:b/>
          <w:bCs/>
          <w:spacing w:val="22"/>
        </w:rPr>
        <w:t>道政发〔2025〕5号</w:t>
      </w:r>
    </w:p>
    <w:p w14:paraId="0987F233">
      <w:pPr>
        <w:spacing w:line="294" w:lineRule="auto"/>
        <w:rPr>
          <w:rFonts w:ascii="Arial"/>
          <w:sz w:val="21"/>
        </w:rPr>
      </w:pPr>
    </w:p>
    <w:p w14:paraId="3F212233">
      <w:pPr>
        <w:spacing w:line="294" w:lineRule="auto"/>
        <w:rPr>
          <w:rFonts w:ascii="Arial"/>
          <w:sz w:val="21"/>
        </w:rPr>
      </w:pPr>
    </w:p>
    <w:p w14:paraId="1188F759">
      <w:pPr>
        <w:pStyle w:val="2"/>
        <w:spacing w:before="88" w:line="274" w:lineRule="auto"/>
        <w:ind w:right="281" w:firstLine="540"/>
        <w:jc w:val="both"/>
      </w:pPr>
      <w:r>
        <w:rPr>
          <w:spacing w:val="11"/>
        </w:rPr>
        <w:t>为了预防和减少未成年人溺水事故的发生，保障人</w:t>
      </w:r>
      <w:r>
        <w:rPr>
          <w:spacing w:val="10"/>
        </w:rPr>
        <w:t>民群众生命安全，根据《中华人民共和国未</w:t>
      </w:r>
      <w:r>
        <w:t xml:space="preserve"> </w:t>
      </w:r>
      <w:r>
        <w:rPr>
          <w:spacing w:val="-2"/>
        </w:rPr>
        <w:t>成年人保护法》《中华人民共和国突发事件应对法》《中华人民</w:t>
      </w:r>
      <w:r>
        <w:rPr>
          <w:spacing w:val="-3"/>
        </w:rPr>
        <w:t>共和国治安管理处罚法》《湖南省预防</w:t>
      </w:r>
      <w:r>
        <w:t xml:space="preserve"> </w:t>
      </w:r>
      <w:r>
        <w:rPr>
          <w:spacing w:val="10"/>
        </w:rPr>
        <w:t>中小学生溺水若干规定》等法律法规，现就严防未成年人在河道、水库、水渠、山塘等危险水域进</w:t>
      </w:r>
      <w:r>
        <w:t xml:space="preserve"> </w:t>
      </w:r>
      <w:r>
        <w:rPr>
          <w:spacing w:val="2"/>
        </w:rPr>
        <w:t>行涉水活动有关事项通告如下：</w:t>
      </w:r>
    </w:p>
    <w:p w14:paraId="0783E85E">
      <w:pPr>
        <w:pStyle w:val="2"/>
        <w:spacing w:before="19" w:line="260" w:lineRule="auto"/>
        <w:ind w:right="300" w:firstLine="540"/>
      </w:pPr>
      <w:r>
        <w:rPr>
          <w:spacing w:val="8"/>
        </w:rPr>
        <w:t>一</w:t>
      </w:r>
      <w:r>
        <w:rPr>
          <w:spacing w:val="-50"/>
        </w:rPr>
        <w:t xml:space="preserve"> </w:t>
      </w:r>
      <w:r>
        <w:rPr>
          <w:spacing w:val="8"/>
        </w:rPr>
        <w:t>、广大人民群众尤其是有未成人小孩的群众要提高认识，严格落实监护责任，加强引导和管</w:t>
      </w:r>
      <w:r>
        <w:t xml:space="preserve"> </w:t>
      </w:r>
      <w:r>
        <w:rPr>
          <w:spacing w:val="16"/>
        </w:rPr>
        <w:t>理，看住人、管住水，严防未成年人(含中小学生、幼儿)到不具备安全条件的各类河道</w:t>
      </w:r>
      <w:r>
        <w:rPr>
          <w:spacing w:val="15"/>
        </w:rPr>
        <w:t>、山塘、</w:t>
      </w:r>
      <w:r>
        <w:t xml:space="preserve"> </w:t>
      </w:r>
      <w:r>
        <w:rPr>
          <w:spacing w:val="5"/>
        </w:rPr>
        <w:t>水库、水渠、河坝等危险水域游泳、戏水，切实远离危险水域。</w:t>
      </w:r>
    </w:p>
    <w:p w14:paraId="246ED3CA">
      <w:pPr>
        <w:pStyle w:val="2"/>
        <w:spacing w:before="78" w:line="258" w:lineRule="auto"/>
        <w:ind w:right="253" w:firstLine="540"/>
      </w:pPr>
      <w:r>
        <w:rPr>
          <w:spacing w:val="-2"/>
        </w:rPr>
        <w:t>二、学校要有针对性地对中小学生进行预防溺水知识教育，增强在校学生安全防范意识；提醒学生</w:t>
      </w:r>
      <w:r>
        <w:rPr>
          <w:spacing w:val="7"/>
        </w:rPr>
        <w:t xml:space="preserve"> </w:t>
      </w:r>
      <w:r>
        <w:rPr>
          <w:spacing w:val="4"/>
        </w:rPr>
        <w:t>做好防溺水“七不两会”注意事项和节假日每日安全信息提示；加强家校沟</w:t>
      </w:r>
      <w:r>
        <w:rPr>
          <w:spacing w:val="3"/>
        </w:rPr>
        <w:t>通，督促家长(监护人)切</w:t>
      </w:r>
      <w:r>
        <w:t xml:space="preserve"> </w:t>
      </w:r>
      <w:r>
        <w:rPr>
          <w:spacing w:val="-3"/>
        </w:rPr>
        <w:t>实履行好孩子的监护责任，孩子外出要做到“四知</w:t>
      </w:r>
      <w:r>
        <w:rPr>
          <w:spacing w:val="-4"/>
        </w:rPr>
        <w:t>”;加强校园内溺水隐患排查，设置安全防护设施。</w:t>
      </w:r>
    </w:p>
    <w:p w14:paraId="4058DE1A">
      <w:pPr>
        <w:pStyle w:val="2"/>
        <w:spacing w:before="81" w:line="255" w:lineRule="auto"/>
        <w:ind w:right="252" w:firstLine="540"/>
      </w:pPr>
      <w:r>
        <w:rPr>
          <w:spacing w:val="-2"/>
        </w:rPr>
        <w:t>三、父母或者其他监护人要加强对未成年子女</w:t>
      </w:r>
      <w:r>
        <w:rPr>
          <w:spacing w:val="-3"/>
        </w:rPr>
        <w:t>的安全教育和监护，被监护人在安全水域游泳、戏水</w:t>
      </w:r>
      <w:r>
        <w:t xml:space="preserve"> </w:t>
      </w:r>
      <w:r>
        <w:rPr>
          <w:spacing w:val="-2"/>
        </w:rPr>
        <w:t>的，也应当陪护；存在危险游泳、戏水行为的，必须及时制止并批评教育；要从严履行监管责任，切实</w:t>
      </w:r>
      <w:r>
        <w:rPr>
          <w:spacing w:val="12"/>
        </w:rPr>
        <w:t xml:space="preserve"> </w:t>
      </w:r>
      <w:r>
        <w:rPr>
          <w:spacing w:val="-4"/>
        </w:rPr>
        <w:t>加强监管，严防未成年人私自到危险水域游泳、戏水，预防溺水事故发生。</w:t>
      </w:r>
    </w:p>
    <w:p w14:paraId="166A4B91">
      <w:pPr>
        <w:pStyle w:val="2"/>
        <w:spacing w:before="88" w:line="258" w:lineRule="auto"/>
        <w:ind w:right="253" w:firstLine="540"/>
      </w:pPr>
      <w:r>
        <w:rPr>
          <w:spacing w:val="-4"/>
        </w:rPr>
        <w:t>四</w:t>
      </w:r>
      <w:r>
        <w:rPr>
          <w:spacing w:val="-65"/>
        </w:rPr>
        <w:t xml:space="preserve"> </w:t>
      </w:r>
      <w:r>
        <w:rPr>
          <w:spacing w:val="-4"/>
        </w:rPr>
        <w:t>、水库、水渠、山塘、河坝等有溺水风险水域的所有人或者使用人、管理人应对</w:t>
      </w:r>
      <w:r>
        <w:rPr>
          <w:spacing w:val="-5"/>
        </w:rPr>
        <w:t>危险水域开展巡</w:t>
      </w:r>
      <w:r>
        <w:t xml:space="preserve"> </w:t>
      </w:r>
      <w:r>
        <w:rPr>
          <w:spacing w:val="-2"/>
        </w:rPr>
        <w:t>查、安全隐患整改，及时修复受损设施，在醒目位置设置禁止游泳的警示牌，配备救生圈、长竹竿、长</w:t>
      </w:r>
      <w:r>
        <w:rPr>
          <w:spacing w:val="11"/>
        </w:rPr>
        <w:t xml:space="preserve"> </w:t>
      </w:r>
      <w:r>
        <w:rPr>
          <w:spacing w:val="-7"/>
        </w:rPr>
        <w:t>绳等救援物资。</w:t>
      </w:r>
    </w:p>
    <w:p w14:paraId="5E5D998B">
      <w:pPr>
        <w:pStyle w:val="2"/>
        <w:spacing w:before="71" w:line="263" w:lineRule="auto"/>
        <w:ind w:firstLine="540"/>
      </w:pPr>
      <w:r>
        <w:rPr>
          <w:spacing w:val="4"/>
        </w:rPr>
        <w:t>五、各职能部门要按照职责认真履职，共同筑牢学生安全屏障。各乡镇(街道)要按照“属地管</w:t>
      </w:r>
      <w:r>
        <w:rPr>
          <w:spacing w:val="3"/>
        </w:rPr>
        <w:t>理”</w:t>
      </w:r>
      <w:r>
        <w:t xml:space="preserve"> </w:t>
      </w:r>
      <w:r>
        <w:rPr>
          <w:spacing w:val="4"/>
        </w:rPr>
        <w:t>原则，对本行政区域内的水域实行网格化管理，督促指导村(居)民委员会</w:t>
      </w:r>
      <w:r>
        <w:rPr>
          <w:spacing w:val="3"/>
        </w:rPr>
        <w:t>、相关责任主体做好预防溺</w:t>
      </w:r>
      <w:r>
        <w:t xml:space="preserve">   </w:t>
      </w:r>
      <w:r>
        <w:rPr>
          <w:spacing w:val="4"/>
        </w:rPr>
        <w:t>水安全宣传教育、管控、巡查等重点工作。村(居)民委</w:t>
      </w:r>
      <w:r>
        <w:rPr>
          <w:spacing w:val="3"/>
        </w:rPr>
        <w:t>员会要明确预防溺水安全员对本辖区内的公共</w:t>
      </w:r>
      <w:r>
        <w:t xml:space="preserve">   </w:t>
      </w:r>
      <w:r>
        <w:rPr>
          <w:spacing w:val="-4"/>
        </w:rPr>
        <w:t>水域进行排查，在溺水风险较高的时段组织人员进行全面巡查。</w:t>
      </w:r>
    </w:p>
    <w:p w14:paraId="4297B3EA">
      <w:pPr>
        <w:pStyle w:val="2"/>
        <w:spacing w:before="90" w:line="219" w:lineRule="auto"/>
        <w:ind w:left="540"/>
      </w:pPr>
      <w:r>
        <w:rPr>
          <w:spacing w:val="-3"/>
        </w:rPr>
        <w:t>六、广大未成年人要自觉远离危险水域，珍爱生命，预防溺水。</w:t>
      </w:r>
    </w:p>
    <w:p w14:paraId="69FC9DBD">
      <w:pPr>
        <w:pStyle w:val="2"/>
        <w:spacing w:before="79" w:line="257" w:lineRule="auto"/>
        <w:ind w:right="160" w:firstLine="540"/>
      </w:pPr>
      <w:r>
        <w:rPr>
          <w:spacing w:val="4"/>
        </w:rPr>
        <w:t>七、当地派出所和乡镇人民政府(街道办事处)、村(居)委会要通过有效方式公布值班电话，鼓励</w:t>
      </w:r>
      <w:r>
        <w:rPr>
          <w:spacing w:val="18"/>
        </w:rPr>
        <w:t xml:space="preserve"> </w:t>
      </w:r>
      <w:r>
        <w:rPr>
          <w:spacing w:val="-2"/>
        </w:rPr>
        <w:t>广大人民群众及时劝阻未成年人在河道、山塘、水库、水</w:t>
      </w:r>
      <w:r>
        <w:rPr>
          <w:spacing w:val="-3"/>
        </w:rPr>
        <w:t>渠、河坝等危险水域违规游泳、戏水等危险涉</w:t>
      </w:r>
      <w:r>
        <w:t xml:space="preserve">  水行为；对劝阻无效的，可拨打当地派出所和乡镇人民政府(街道办事处)、村(居)委会值班电话报告。</w:t>
      </w:r>
    </w:p>
    <w:p w14:paraId="33652071">
      <w:pPr>
        <w:pStyle w:val="2"/>
        <w:spacing w:before="81" w:line="218" w:lineRule="auto"/>
        <w:ind w:left="540"/>
      </w:pPr>
      <w:r>
        <w:rPr>
          <w:spacing w:val="-5"/>
        </w:rPr>
        <w:t>特此通告。</w:t>
      </w:r>
    </w:p>
    <w:p w14:paraId="27D7A3C4">
      <w:pPr>
        <w:spacing w:line="302" w:lineRule="auto"/>
        <w:rPr>
          <w:rFonts w:ascii="Arial"/>
          <w:sz w:val="21"/>
        </w:rPr>
      </w:pPr>
    </w:p>
    <w:p w14:paraId="132217D5">
      <w:pPr>
        <w:spacing w:line="303" w:lineRule="auto"/>
        <w:rPr>
          <w:rFonts w:ascii="Arial"/>
          <w:sz w:val="21"/>
        </w:rPr>
      </w:pPr>
    </w:p>
    <w:p w14:paraId="6E54747B">
      <w:pPr>
        <w:spacing w:line="303" w:lineRule="auto"/>
        <w:rPr>
          <w:rFonts w:ascii="Arial"/>
          <w:sz w:val="21"/>
        </w:rPr>
      </w:pPr>
    </w:p>
    <w:p w14:paraId="212D78BC">
      <w:pPr>
        <w:pStyle w:val="2"/>
        <w:spacing w:before="88" w:line="219" w:lineRule="auto"/>
        <w:ind w:left="8140"/>
      </w:pPr>
      <w:bookmarkStart w:id="0" w:name="_GoBack"/>
      <w:bookmarkEnd w:id="0"/>
      <w:r>
        <w:rPr>
          <w:spacing w:val="-2"/>
        </w:rPr>
        <w:t>道县人民政府</w:t>
      </w:r>
    </w:p>
    <w:p w14:paraId="3209BA37">
      <w:pPr>
        <w:pStyle w:val="2"/>
        <w:spacing w:before="72" w:line="219" w:lineRule="auto"/>
        <w:ind w:left="8000"/>
      </w:pPr>
      <w:r>
        <w:rPr>
          <w:spacing w:val="34"/>
        </w:rPr>
        <w:t>2025年7月16日</w:t>
      </w:r>
    </w:p>
    <w:sectPr>
      <w:pgSz w:w="14480" w:h="20480"/>
      <w:pgMar w:top="1669" w:right="954" w:bottom="0" w:left="11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215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996</Words>
  <Characters>1017</Characters>
  <TotalTime>0</TotalTime>
  <ScaleCrop>false</ScaleCrop>
  <LinksUpToDate>false</LinksUpToDate>
  <CharactersWithSpaces>1044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2025-07-23T10:22:00Z</dcterms:created>
  <dc:creator>Administrator</dc:creator>
  <cp:lastModifiedBy>豆沙</cp:lastModifiedBy>
  <dcterms:modified xsi:type="dcterms:W3CDTF">2025-07-23T02:22:46Z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2025-07-23T10:22:38Z</vt:filetime>
  </property>
  <property fmtid="{D5CDD505-2E9C-101B-9397-08002B2CF9AE}" pid="4" name="UsrData">
    <vt:lpwstr>68804766658aed001f03974fwl</vt:lpwstr>
  </property>
  <property fmtid="{D5CDD505-2E9C-101B-9397-08002B2CF9AE}" pid="5" name="KSOTemplateDocerSaveRecord">
    <vt:lpwstr>eyJoZGlkIjoiYzM1OTJhZTZmM2U1NmQwYTI3MzZiM2JlZDVkMzZiOGYiLCJ1c2VySWQiOiI5OTEyOTgzMjQifQ==</vt:lpwstr>
  </property>
  <property fmtid="{D5CDD505-2E9C-101B-9397-08002B2CF9AE}" pid="6" name="KSOProductBuildVer">
    <vt:lpwstr>2052-12.1.0.21541</vt:lpwstr>
  </property>
  <property fmtid="{D5CDD505-2E9C-101B-9397-08002B2CF9AE}" pid="7" name="ICV">
    <vt:lpwstr>88DDB9A67017403484895C4B1C6CAA64_12</vt:lpwstr>
  </property>
</Properties>
</file>