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63C6">
      <w:pPr>
        <w:spacing w:line="600" w:lineRule="exact"/>
        <w:jc w:val="center"/>
        <w:rPr>
          <w:b w:val="0"/>
          <w:bCs w:val="0"/>
          <w:sz w:val="44"/>
          <w:szCs w:val="44"/>
        </w:rPr>
      </w:pPr>
      <w:r>
        <w:rPr>
          <w:rFonts w:hint="eastAsia"/>
          <w:b w:val="0"/>
          <w:bCs w:val="0"/>
          <w:sz w:val="44"/>
          <w:szCs w:val="44"/>
        </w:rPr>
        <w:t>道县公安局交警大队</w:t>
      </w:r>
    </w:p>
    <w:p w14:paraId="6F206298">
      <w:pPr>
        <w:spacing w:line="600" w:lineRule="exact"/>
        <w:jc w:val="center"/>
        <w:rPr>
          <w:b w:val="0"/>
          <w:bCs w:val="0"/>
          <w:sz w:val="44"/>
          <w:szCs w:val="44"/>
        </w:rPr>
      </w:pPr>
      <w:r>
        <w:rPr>
          <w:rFonts w:hint="eastAsia"/>
          <w:b w:val="0"/>
          <w:bCs w:val="0"/>
          <w:sz w:val="44"/>
          <w:szCs w:val="44"/>
        </w:rPr>
        <w:t>关于《</w:t>
      </w:r>
      <w:r>
        <w:rPr>
          <w:rFonts w:hint="eastAsia" w:ascii="宋体" w:hAnsi="宋体" w:cs="宋体"/>
          <w:b w:val="0"/>
          <w:bCs w:val="0"/>
          <w:sz w:val="44"/>
          <w:szCs w:val="44"/>
        </w:rPr>
        <w:t>关于启用</w:t>
      </w:r>
      <w:r>
        <w:rPr>
          <w:rFonts w:hint="eastAsia" w:ascii="宋体" w:hAnsi="宋体" w:cs="宋体"/>
          <w:b w:val="0"/>
          <w:bCs w:val="0"/>
          <w:sz w:val="44"/>
          <w:szCs w:val="44"/>
          <w:lang w:val="en-US" w:eastAsia="zh-CN"/>
        </w:rPr>
        <w:t>营阳大道四个路口</w:t>
      </w:r>
      <w:r>
        <w:rPr>
          <w:rFonts w:hint="eastAsia" w:ascii="宋体" w:hAnsi="宋体" w:cs="宋体"/>
          <w:b w:val="0"/>
          <w:bCs w:val="0"/>
          <w:sz w:val="44"/>
          <w:szCs w:val="44"/>
        </w:rPr>
        <w:t>电子警察抓拍设备的公告</w:t>
      </w:r>
      <w:r>
        <w:rPr>
          <w:rFonts w:hint="eastAsia"/>
          <w:b w:val="0"/>
          <w:bCs w:val="0"/>
          <w:sz w:val="44"/>
          <w:szCs w:val="44"/>
        </w:rPr>
        <w:t>》的政策解读</w:t>
      </w:r>
    </w:p>
    <w:p w14:paraId="28AFE27D">
      <w:pPr>
        <w:spacing w:line="680" w:lineRule="exact"/>
        <w:ind w:firstLine="640" w:firstLineChars="200"/>
        <w:rPr>
          <w:rFonts w:ascii="宋体" w:cs="宋体"/>
          <w:sz w:val="32"/>
          <w:szCs w:val="32"/>
        </w:rPr>
      </w:pPr>
    </w:p>
    <w:p w14:paraId="61E73C60">
      <w:pPr>
        <w:spacing w:line="600" w:lineRule="exact"/>
        <w:ind w:firstLine="640" w:firstLineChars="200"/>
        <w:rPr>
          <w:rFonts w:ascii="黑体" w:hAnsi="黑体" w:eastAsia="黑体"/>
          <w:sz w:val="32"/>
          <w:szCs w:val="32"/>
        </w:rPr>
      </w:pPr>
      <w:r>
        <w:rPr>
          <w:rFonts w:hint="eastAsia" w:ascii="黑体" w:hAnsi="黑体" w:eastAsia="黑体"/>
          <w:sz w:val="32"/>
          <w:szCs w:val="32"/>
        </w:rPr>
        <w:t>一、起草背景</w:t>
      </w:r>
    </w:p>
    <w:p w14:paraId="63E83CBB">
      <w:pPr>
        <w:spacing w:line="600" w:lineRule="exact"/>
        <w:ind w:firstLine="640" w:firstLineChars="200"/>
        <w:jc w:val="left"/>
        <w:rPr>
          <w:rFonts w:hint="eastAsia" w:ascii="仿宋" w:hAnsi="仿宋" w:eastAsia="仿宋" w:cs="仿宋"/>
          <w:b w:val="0"/>
          <w:bCs w:val="0"/>
          <w:sz w:val="32"/>
          <w:szCs w:val="32"/>
        </w:rPr>
      </w:pPr>
      <w:r>
        <w:rPr>
          <w:rFonts w:hint="eastAsia" w:ascii="仿宋_GB2312" w:hAnsi="仿宋_GB2312" w:eastAsia="仿宋_GB2312" w:cs="仿宋_GB2312"/>
          <w:color w:val="000000"/>
          <w:sz w:val="32"/>
          <w:szCs w:val="32"/>
        </w:rPr>
        <w:t>为进一步规范道路交通秩序，有效预防和减少道路交通事故，营造良好的交通环境，根据《中华人民共和国道路交通安全法》和《中华人民共和国道路交通安全法实施条例》等法律法规规定</w:t>
      </w:r>
      <w:r>
        <w:rPr>
          <w:rFonts w:hint="eastAsia" w:ascii="仿宋_GB2312" w:hAnsi="仿宋_GB2312" w:eastAsia="仿宋_GB2312" w:cs="仿宋_GB2312"/>
          <w:sz w:val="32"/>
          <w:szCs w:val="32"/>
        </w:rPr>
        <w:t>，我大队起草了《</w:t>
      </w:r>
      <w:r>
        <w:rPr>
          <w:rFonts w:hint="eastAsia" w:ascii="仿宋" w:hAnsi="仿宋" w:eastAsia="仿宋" w:cs="仿宋"/>
          <w:b w:val="0"/>
          <w:bCs w:val="0"/>
          <w:sz w:val="32"/>
          <w:szCs w:val="32"/>
        </w:rPr>
        <w:t>关于启用</w:t>
      </w:r>
      <w:r>
        <w:rPr>
          <w:rFonts w:hint="eastAsia" w:ascii="仿宋" w:hAnsi="仿宋" w:eastAsia="仿宋" w:cs="仿宋"/>
          <w:b w:val="0"/>
          <w:bCs w:val="0"/>
          <w:sz w:val="32"/>
          <w:szCs w:val="32"/>
          <w:lang w:eastAsia="zh-CN"/>
        </w:rPr>
        <w:t>道县</w:t>
      </w:r>
      <w:r>
        <w:rPr>
          <w:rFonts w:hint="eastAsia" w:ascii="仿宋" w:hAnsi="仿宋" w:eastAsia="仿宋" w:cs="仿宋"/>
          <w:b w:val="0"/>
          <w:bCs w:val="0"/>
          <w:sz w:val="32"/>
          <w:szCs w:val="32"/>
          <w:lang w:val="en-US" w:eastAsia="zh-CN"/>
        </w:rPr>
        <w:t>营阳大道四个路口</w:t>
      </w:r>
      <w:r>
        <w:rPr>
          <w:rFonts w:hint="eastAsia" w:ascii="仿宋" w:hAnsi="仿宋" w:eastAsia="仿宋" w:cs="仿宋"/>
          <w:b w:val="0"/>
          <w:bCs w:val="0"/>
          <w:sz w:val="32"/>
          <w:szCs w:val="32"/>
        </w:rPr>
        <w:t>电子警察抓拍设备的公告》。</w:t>
      </w:r>
    </w:p>
    <w:p w14:paraId="2EC4D568">
      <w:pPr>
        <w:numPr>
          <w:ilvl w:val="0"/>
          <w:numId w:val="0"/>
        </w:numPr>
        <w:spacing w:line="600" w:lineRule="exact"/>
        <w:ind w:firstLine="640" w:firstLineChars="200"/>
        <w:rPr>
          <w:rStyle w:val="8"/>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000000"/>
          <w:kern w:val="2"/>
          <w:sz w:val="32"/>
          <w:szCs w:val="32"/>
          <w:lang w:val="en-US" w:eastAsia="zh-CN" w:bidi="ar-SA"/>
        </w:rPr>
        <w:t>二、</w:t>
      </w:r>
      <w:r>
        <w:rPr>
          <w:rFonts w:hint="eastAsia" w:ascii="黑体" w:hAnsi="黑体" w:eastAsia="黑体"/>
          <w:sz w:val="32"/>
          <w:szCs w:val="32"/>
        </w:rPr>
        <w:t>主要内容</w:t>
      </w:r>
    </w:p>
    <w:p w14:paraId="14D1787F">
      <w:pPr>
        <w:numPr>
          <w:ilvl w:val="0"/>
          <w:numId w:val="0"/>
        </w:numPr>
        <w:spacing w:line="600" w:lineRule="exact"/>
        <w:ind w:firstLine="640" w:firstLineChars="200"/>
        <w:rPr>
          <w:rStyle w:val="8"/>
          <w:rFonts w:hint="eastAsia" w:ascii="仿宋_GB2312" w:hAnsi="仿宋_GB2312" w:eastAsia="仿宋_GB2312" w:cs="仿宋_GB2312"/>
          <w:b w:val="0"/>
          <w:color w:val="000000"/>
          <w:sz w:val="32"/>
          <w:szCs w:val="32"/>
          <w:lang w:eastAsia="zh-CN"/>
        </w:rPr>
      </w:pPr>
      <w:r>
        <w:rPr>
          <w:rStyle w:val="8"/>
          <w:rFonts w:hint="eastAsia" w:ascii="仿宋_GB2312" w:hAnsi="仿宋_GB2312" w:eastAsia="仿宋_GB2312" w:cs="仿宋_GB2312"/>
          <w:b w:val="0"/>
          <w:color w:val="000000"/>
          <w:sz w:val="32"/>
          <w:szCs w:val="32"/>
          <w:lang w:eastAsia="zh-CN"/>
        </w:rPr>
        <w:t>新增“电子警察”设施位置</w:t>
      </w:r>
    </w:p>
    <w:tbl>
      <w:tblPr>
        <w:tblStyle w:val="6"/>
        <w:tblW w:w="9060" w:type="dxa"/>
        <w:tblInd w:w="195" w:type="dxa"/>
        <w:tblLayout w:type="fixed"/>
        <w:tblCellMar>
          <w:top w:w="0" w:type="dxa"/>
          <w:left w:w="0" w:type="dxa"/>
          <w:bottom w:w="0" w:type="dxa"/>
          <w:right w:w="0" w:type="dxa"/>
        </w:tblCellMar>
      </w:tblPr>
      <w:tblGrid>
        <w:gridCol w:w="572"/>
        <w:gridCol w:w="8488"/>
      </w:tblGrid>
      <w:tr w14:paraId="028FBD35">
        <w:tblPrEx>
          <w:tblCellMar>
            <w:top w:w="0" w:type="dxa"/>
            <w:left w:w="0" w:type="dxa"/>
            <w:bottom w:w="0" w:type="dxa"/>
            <w:right w:w="0" w:type="dxa"/>
          </w:tblCellMar>
        </w:tblPrEx>
        <w:trPr>
          <w:trHeight w:val="776" w:hRule="atLeast"/>
        </w:trPr>
        <w:tc>
          <w:tcPr>
            <w:tcW w:w="5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A1F29E">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84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B21C5B1">
            <w:pPr>
              <w:widowControl/>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道县</w:t>
            </w:r>
            <w:r>
              <w:rPr>
                <w:rFonts w:hint="eastAsia" w:ascii="仿宋" w:hAnsi="仿宋" w:eastAsia="仿宋" w:cs="仿宋"/>
                <w:color w:val="000000"/>
                <w:sz w:val="28"/>
                <w:szCs w:val="28"/>
                <w:lang w:val="en-US" w:eastAsia="zh-CN"/>
              </w:rPr>
              <w:t>营阳大道 五马归槽路口（营阳大道 道州路口）</w:t>
            </w:r>
          </w:p>
        </w:tc>
      </w:tr>
      <w:tr w14:paraId="3F554FF2">
        <w:tblPrEx>
          <w:tblCellMar>
            <w:top w:w="0" w:type="dxa"/>
            <w:left w:w="0" w:type="dxa"/>
            <w:bottom w:w="0" w:type="dxa"/>
            <w:right w:w="0" w:type="dxa"/>
          </w:tblCellMar>
        </w:tblPrEx>
        <w:trPr>
          <w:trHeight w:val="776" w:hRule="atLeast"/>
        </w:trPr>
        <w:tc>
          <w:tcPr>
            <w:tcW w:w="5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F4474C7">
            <w:pPr>
              <w:widowControl/>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p>
        </w:tc>
        <w:tc>
          <w:tcPr>
            <w:tcW w:w="84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B07D24">
            <w:pPr>
              <w:widowControl/>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道县营阳大道 沿河路口 （营阳大道 潇水三桥南路口）</w:t>
            </w:r>
          </w:p>
        </w:tc>
      </w:tr>
      <w:tr w14:paraId="51030341">
        <w:tblPrEx>
          <w:tblCellMar>
            <w:top w:w="0" w:type="dxa"/>
            <w:left w:w="0" w:type="dxa"/>
            <w:bottom w:w="0" w:type="dxa"/>
            <w:right w:w="0" w:type="dxa"/>
          </w:tblCellMar>
        </w:tblPrEx>
        <w:trPr>
          <w:trHeight w:val="776" w:hRule="atLeast"/>
        </w:trPr>
        <w:tc>
          <w:tcPr>
            <w:tcW w:w="5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801C9C1">
            <w:pPr>
              <w:widowControl/>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p>
        </w:tc>
        <w:tc>
          <w:tcPr>
            <w:tcW w:w="84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03FAC8">
            <w:pPr>
              <w:widowControl/>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道县营阳大道 氮肥厂路口</w:t>
            </w:r>
          </w:p>
        </w:tc>
      </w:tr>
      <w:tr w14:paraId="07A13B9D">
        <w:tblPrEx>
          <w:tblCellMar>
            <w:top w:w="0" w:type="dxa"/>
            <w:left w:w="0" w:type="dxa"/>
            <w:bottom w:w="0" w:type="dxa"/>
            <w:right w:w="0" w:type="dxa"/>
          </w:tblCellMar>
        </w:tblPrEx>
        <w:trPr>
          <w:trHeight w:val="776" w:hRule="atLeast"/>
        </w:trPr>
        <w:tc>
          <w:tcPr>
            <w:tcW w:w="5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997DCC">
            <w:pPr>
              <w:widowControl/>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p>
        </w:tc>
        <w:tc>
          <w:tcPr>
            <w:tcW w:w="84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DD5832">
            <w:pPr>
              <w:widowControl/>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道县营阳大道 五洲路口</w:t>
            </w:r>
          </w:p>
        </w:tc>
      </w:tr>
    </w:tbl>
    <w:p w14:paraId="069A0C21">
      <w:pPr>
        <w:numPr>
          <w:ilvl w:val="0"/>
          <w:numId w:val="0"/>
        </w:numPr>
        <w:spacing w:line="600" w:lineRule="exact"/>
        <w:ind w:firstLine="640" w:firstLineChars="200"/>
        <w:rPr>
          <w:rFonts w:hint="eastAsia" w:ascii="黑体" w:hAnsi="黑体" w:eastAsia="黑体"/>
          <w:sz w:val="32"/>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sz w:val="32"/>
          <w:szCs w:val="32"/>
          <w:lang w:eastAsia="zh-CN"/>
        </w:rPr>
        <w:t>相关规定</w:t>
      </w:r>
    </w:p>
    <w:p w14:paraId="60D08F49">
      <w:pPr>
        <w:spacing w:line="6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上述抓拍影响交通安全违法行为的电子监控</w:t>
      </w:r>
      <w:r>
        <w:rPr>
          <w:rFonts w:hint="eastAsia" w:ascii="仿宋_GB2312" w:hAnsi="仿宋_GB2312" w:eastAsia="仿宋_GB2312" w:cs="仿宋_GB2312"/>
          <w:sz w:val="32"/>
          <w:szCs w:val="32"/>
          <w:lang w:val="en-US" w:eastAsia="zh-CN"/>
        </w:rPr>
        <w:t>取证</w:t>
      </w:r>
      <w:r>
        <w:rPr>
          <w:rFonts w:hint="eastAsia" w:ascii="仿宋_GB2312" w:hAnsi="仿宋_GB2312" w:eastAsia="仿宋_GB2312" w:cs="仿宋_GB2312"/>
          <w:sz w:val="32"/>
          <w:szCs w:val="32"/>
        </w:rPr>
        <w:t>设备于202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日零时启用。根据电子监控</w:t>
      </w:r>
      <w:r>
        <w:rPr>
          <w:rFonts w:hint="eastAsia" w:ascii="仿宋_GB2312" w:hAnsi="仿宋_GB2312" w:eastAsia="仿宋_GB2312" w:cs="仿宋_GB2312"/>
          <w:sz w:val="32"/>
          <w:szCs w:val="32"/>
          <w:lang w:val="en-US" w:eastAsia="zh-CN"/>
        </w:rPr>
        <w:t>取证</w:t>
      </w:r>
      <w:r>
        <w:rPr>
          <w:rFonts w:hint="eastAsia" w:ascii="仿宋_GB2312" w:hAnsi="仿宋_GB2312" w:eastAsia="仿宋_GB2312" w:cs="仿宋_GB2312"/>
          <w:sz w:val="32"/>
          <w:szCs w:val="32"/>
        </w:rPr>
        <w:t>抓拍记录，上述位置凡有相关机动车违法行为的，我大队将按照《中华人民共和国道路交通安全法》和《机动车驾驶证申领和使用规定》对驾驶员处以记分、罚款。</w:t>
      </w:r>
    </w:p>
    <w:p w14:paraId="49011868">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、起草依据</w:t>
      </w:r>
    </w:p>
    <w:p w14:paraId="17C1DD4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为做好交通安全管理工作，更好地防事故、保安全、保畅通，我大队指派相关业务股室和辖区中队民警深入上述电子警察抓拍地进行实地勘查，并依据《中华人民共和国道路交通安全法》第</w:t>
      </w:r>
      <w:r>
        <w:rPr>
          <w:rFonts w:hint="eastAsia" w:ascii="仿宋_GB2312" w:hAnsi="仿宋_GB2312" w:eastAsia="仿宋_GB2312" w:cs="仿宋_GB2312"/>
          <w:sz w:val="32"/>
          <w:szCs w:val="32"/>
          <w:lang w:eastAsia="zh-CN"/>
        </w:rPr>
        <w:t>九十</w:t>
      </w:r>
      <w:r>
        <w:rPr>
          <w:rFonts w:hint="eastAsia" w:ascii="仿宋_GB2312" w:hAnsi="仿宋_GB2312" w:eastAsia="仿宋_GB2312" w:cs="仿宋_GB2312"/>
          <w:sz w:val="32"/>
          <w:szCs w:val="32"/>
        </w:rPr>
        <w:t>条的相关要求，召开专题会议，讨论和通过《</w:t>
      </w:r>
      <w:r>
        <w:rPr>
          <w:rFonts w:hint="eastAsia" w:ascii="仿宋" w:hAnsi="仿宋" w:eastAsia="仿宋" w:cs="仿宋"/>
          <w:b w:val="0"/>
          <w:bCs w:val="0"/>
          <w:sz w:val="32"/>
          <w:szCs w:val="32"/>
        </w:rPr>
        <w:t>关于启用</w:t>
      </w:r>
      <w:r>
        <w:rPr>
          <w:rFonts w:hint="eastAsia" w:ascii="仿宋" w:hAnsi="仿宋" w:eastAsia="仿宋" w:cs="仿宋"/>
          <w:b w:val="0"/>
          <w:bCs w:val="0"/>
          <w:sz w:val="32"/>
          <w:szCs w:val="32"/>
          <w:lang w:eastAsia="zh-CN"/>
        </w:rPr>
        <w:t>道县</w:t>
      </w:r>
      <w:r>
        <w:rPr>
          <w:rFonts w:hint="eastAsia" w:ascii="仿宋" w:hAnsi="仿宋" w:eastAsia="仿宋" w:cs="仿宋"/>
          <w:b w:val="0"/>
          <w:bCs w:val="0"/>
          <w:sz w:val="32"/>
          <w:szCs w:val="32"/>
          <w:lang w:val="en-US" w:eastAsia="zh-CN"/>
        </w:rPr>
        <w:t>营阳大道四个路口</w:t>
      </w:r>
      <w:r>
        <w:rPr>
          <w:rFonts w:hint="eastAsia" w:ascii="仿宋" w:hAnsi="仿宋" w:eastAsia="仿宋" w:cs="仿宋"/>
          <w:b w:val="0"/>
          <w:bCs w:val="0"/>
          <w:sz w:val="32"/>
          <w:szCs w:val="32"/>
        </w:rPr>
        <w:t>电子警察抓拍设备的公告</w:t>
      </w:r>
      <w:r>
        <w:rPr>
          <w:rFonts w:hint="eastAsia" w:ascii="仿宋_GB2312" w:hAnsi="仿宋_GB2312" w:eastAsia="仿宋_GB2312" w:cs="仿宋_GB2312"/>
          <w:sz w:val="32"/>
          <w:szCs w:val="32"/>
        </w:rPr>
        <w:t>》。</w:t>
      </w:r>
    </w:p>
    <w:p w14:paraId="42A9B50D">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、政策时限</w:t>
      </w:r>
    </w:p>
    <w:p w14:paraId="3DCEDDE1">
      <w:pPr>
        <w:spacing w:line="600" w:lineRule="exact"/>
        <w:ind w:firstLine="640" w:firstLineChars="200"/>
        <w:rPr>
          <w:rFonts w:ascii="仿宋_GB2312" w:hAnsi="仿宋_GB2312" w:eastAsia="仿宋_GB2312" w:cs="仿宋_GB2312"/>
          <w:sz w:val="32"/>
          <w:szCs w:val="32"/>
        </w:rPr>
      </w:pPr>
      <w:r>
        <w:rPr>
          <w:rStyle w:val="8"/>
          <w:rFonts w:hint="eastAsia" w:ascii="仿宋_GB2312" w:hAnsi="仿宋_GB2312" w:eastAsia="仿宋_GB2312" w:cs="仿宋_GB2312"/>
          <w:b w:val="0"/>
          <w:color w:val="000000"/>
          <w:sz w:val="32"/>
          <w:szCs w:val="32"/>
        </w:rPr>
        <w:t>2025年</w:t>
      </w:r>
      <w:r>
        <w:rPr>
          <w:rStyle w:val="8"/>
          <w:rFonts w:hint="eastAsia" w:ascii="仿宋_GB2312" w:hAnsi="仿宋_GB2312" w:eastAsia="仿宋_GB2312" w:cs="仿宋_GB2312"/>
          <w:b w:val="0"/>
          <w:color w:val="000000"/>
          <w:sz w:val="32"/>
          <w:szCs w:val="32"/>
          <w:lang w:val="en-US" w:eastAsia="zh-CN"/>
        </w:rPr>
        <w:t>12</w:t>
      </w:r>
      <w:r>
        <w:rPr>
          <w:rStyle w:val="8"/>
          <w:rFonts w:hint="eastAsia" w:ascii="仿宋_GB2312" w:hAnsi="仿宋_GB2312" w:eastAsia="仿宋_GB2312" w:cs="仿宋_GB2312"/>
          <w:b w:val="0"/>
          <w:color w:val="000000"/>
          <w:sz w:val="32"/>
          <w:szCs w:val="32"/>
        </w:rPr>
        <w:t>月</w:t>
      </w:r>
      <w:r>
        <w:rPr>
          <w:rStyle w:val="8"/>
          <w:rFonts w:hint="eastAsia" w:ascii="仿宋_GB2312" w:hAnsi="仿宋_GB2312" w:eastAsia="仿宋_GB2312" w:cs="仿宋_GB2312"/>
          <w:b w:val="0"/>
          <w:color w:val="000000"/>
          <w:sz w:val="32"/>
          <w:szCs w:val="32"/>
          <w:lang w:val="en-US" w:eastAsia="zh-CN"/>
        </w:rPr>
        <w:t>2</w:t>
      </w:r>
      <w:r>
        <w:rPr>
          <w:rStyle w:val="8"/>
          <w:rFonts w:hint="eastAsia" w:ascii="仿宋_GB2312" w:hAnsi="仿宋_GB2312" w:eastAsia="仿宋_GB2312" w:cs="仿宋_GB2312"/>
          <w:b w:val="0"/>
          <w:color w:val="000000"/>
          <w:sz w:val="32"/>
          <w:szCs w:val="32"/>
        </w:rPr>
        <w:t>5日</w:t>
      </w:r>
      <w:r>
        <w:rPr>
          <w:rFonts w:hint="eastAsia" w:ascii="仿宋_GB2312" w:hAnsi="仿宋_GB2312" w:eastAsia="仿宋_GB2312" w:cs="仿宋_GB2312"/>
          <w:sz w:val="32"/>
          <w:szCs w:val="32"/>
        </w:rPr>
        <w:t>零时起启用</w:t>
      </w:r>
      <w:r>
        <w:rPr>
          <w:rFonts w:hint="eastAsia" w:ascii="仿宋_GB2312" w:hAnsi="仿宋_GB2312" w:eastAsia="仿宋_GB2312" w:cs="仿宋_GB2312"/>
          <w:color w:val="000000"/>
          <w:sz w:val="32"/>
          <w:szCs w:val="32"/>
        </w:rPr>
        <w:t>道县新增电子警察抓拍设备</w:t>
      </w:r>
      <w:r>
        <w:rPr>
          <w:rFonts w:hint="eastAsia" w:ascii="仿宋_GB2312" w:hAnsi="仿宋_GB2312" w:eastAsia="仿宋_GB2312" w:cs="仿宋_GB2312"/>
          <w:sz w:val="32"/>
          <w:szCs w:val="32"/>
        </w:rPr>
        <w:t>。</w:t>
      </w:r>
      <w:bookmarkStart w:id="0" w:name="_GoBack"/>
      <w:bookmarkEnd w:id="0"/>
    </w:p>
    <w:p w14:paraId="56CD9CA6">
      <w:pPr>
        <w:spacing w:line="600" w:lineRule="exact"/>
        <w:ind w:firstLine="640" w:firstLineChars="200"/>
        <w:textAlignment w:val="baseline"/>
        <w:rPr>
          <w:rFonts w:ascii="宋体" w:cs="宋体"/>
          <w:sz w:val="32"/>
          <w:szCs w:val="32"/>
        </w:rPr>
      </w:pPr>
    </w:p>
    <w:p w14:paraId="23FBDC0F">
      <w:pPr>
        <w:spacing w:line="600" w:lineRule="exact"/>
        <w:ind w:firstLine="640" w:firstLineChars="200"/>
        <w:textAlignment w:val="baseline"/>
        <w:rPr>
          <w:rFonts w:ascii="宋体" w:cs="宋体"/>
          <w:color w:val="000000"/>
          <w:sz w:val="32"/>
          <w:szCs w:val="32"/>
        </w:rPr>
      </w:pPr>
      <w:r>
        <w:rPr>
          <w:rFonts w:ascii="宋体" w:hAnsi="宋体" w:cs="宋体"/>
          <w:color w:val="000000"/>
          <w:sz w:val="32"/>
          <w:szCs w:val="32"/>
        </w:rPr>
        <w:t xml:space="preserve">                               </w:t>
      </w:r>
    </w:p>
    <w:p w14:paraId="4E885E2A">
      <w:pPr>
        <w:spacing w:line="600" w:lineRule="exact"/>
        <w:ind w:firstLine="420" w:firstLineChars="200"/>
        <w:rPr>
          <w:rFonts w:ascii="仿宋_GB2312" w:hAnsi="仿宋_GB2312" w:eastAsia="仿宋_GB2312" w:cs="仿宋_GB2312"/>
          <w:sz w:val="32"/>
          <w:szCs w:val="32"/>
        </w:rPr>
      </w:pPr>
      <w:r>
        <w:t xml:space="preserve">                                     </w:t>
      </w:r>
      <w:r>
        <w:rPr>
          <w:rFonts w:hint="eastAsia" w:ascii="仿宋_GB2312" w:hAnsi="仿宋_GB2312" w:eastAsia="仿宋_GB2312" w:cs="仿宋_GB2312"/>
          <w:sz w:val="32"/>
          <w:szCs w:val="32"/>
        </w:rPr>
        <w:t>道县公安局交警大队</w:t>
      </w:r>
    </w:p>
    <w:p w14:paraId="3F54D420">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56B0969F">
      <w:pPr>
        <w:wordWrap w:val="0"/>
        <w:spacing w:line="720" w:lineRule="atLeast"/>
        <w:textAlignment w:val="baseline"/>
        <w:rPr>
          <w:rFonts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CB09">
    <w:pPr>
      <w:pStyle w:val="3"/>
      <w:framePr w:wrap="around" w:vAnchor="text" w:hAnchor="margin" w:xAlign="center" w:y="1"/>
      <w:rPr>
        <w:rStyle w:val="9"/>
        <w:rFonts w:cs="黑体"/>
      </w:rPr>
    </w:pPr>
    <w:r>
      <w:rPr>
        <w:rFonts w:cs="黑体"/>
      </w:rPr>
      <w:fldChar w:fldCharType="begin"/>
    </w:r>
    <w:r>
      <w:rPr>
        <w:rStyle w:val="9"/>
        <w:rFonts w:cs="黑体"/>
      </w:rPr>
      <w:instrText xml:space="preserve">PAGE  </w:instrText>
    </w:r>
    <w:r>
      <w:rPr>
        <w:rFonts w:cs="黑体"/>
      </w:rPr>
      <w:fldChar w:fldCharType="separate"/>
    </w:r>
    <w:r>
      <w:rPr>
        <w:rStyle w:val="9"/>
        <w:rFonts w:cs="黑体"/>
      </w:rPr>
      <w:t>1</w:t>
    </w:r>
    <w:r>
      <w:rPr>
        <w:rFonts w:cs="黑体"/>
      </w:rPr>
      <w:fldChar w:fldCharType="end"/>
    </w:r>
  </w:p>
  <w:p w14:paraId="2303D50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89B4">
    <w:pPr>
      <w:pStyle w:val="3"/>
      <w:framePr w:wrap="around" w:vAnchor="text" w:hAnchor="margin" w:xAlign="center" w:y="1"/>
      <w:rPr>
        <w:rStyle w:val="9"/>
        <w:rFonts w:cs="黑体"/>
      </w:rPr>
    </w:pPr>
    <w:r>
      <w:rPr>
        <w:rFonts w:cs="黑体"/>
      </w:rPr>
      <w:fldChar w:fldCharType="begin"/>
    </w:r>
    <w:r>
      <w:rPr>
        <w:rStyle w:val="9"/>
        <w:rFonts w:cs="黑体"/>
      </w:rPr>
      <w:instrText xml:space="preserve">PAGE  </w:instrText>
    </w:r>
    <w:r>
      <w:rPr>
        <w:rFonts w:cs="黑体"/>
      </w:rPr>
      <w:fldChar w:fldCharType="separate"/>
    </w:r>
    <w:r>
      <w:rPr>
        <w:rStyle w:val="9"/>
        <w:rFonts w:cs="黑体"/>
      </w:rPr>
      <w:t>2</w:t>
    </w:r>
    <w:r>
      <w:rPr>
        <w:rFonts w:cs="黑体"/>
      </w:rPr>
      <w:fldChar w:fldCharType="end"/>
    </w:r>
  </w:p>
  <w:p w14:paraId="715AA87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0676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1E3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6D9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476A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75B4C"/>
    <w:rsid w:val="67B81E70"/>
    <w:rsid w:val="763E71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semiHidden="0"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10"/>
    <w:qFormat/>
    <w:uiPriority w:val="99"/>
    <w:pPr>
      <w:keepNext/>
      <w:keepLines/>
      <w:spacing w:before="260" w:after="26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Times New Roman" w:hAnsi="Times New Roman" w:cs="宋体"/>
      <w:kern w:val="0"/>
      <w:sz w:val="28"/>
    </w:rPr>
  </w:style>
  <w:style w:type="character" w:styleId="8">
    <w:name w:val="Strong"/>
    <w:basedOn w:val="7"/>
    <w:qFormat/>
    <w:locked/>
    <w:uiPriority w:val="22"/>
    <w:rPr>
      <w:b/>
    </w:rPr>
  </w:style>
  <w:style w:type="character" w:styleId="9">
    <w:name w:val="page number"/>
    <w:basedOn w:val="7"/>
    <w:qFormat/>
    <w:uiPriority w:val="99"/>
    <w:rPr>
      <w:rFonts w:cs="Times New Roman"/>
    </w:rPr>
  </w:style>
  <w:style w:type="character" w:customStyle="1" w:styleId="10">
    <w:name w:val="Heading 3 Char"/>
    <w:basedOn w:val="7"/>
    <w:link w:val="2"/>
    <w:qFormat/>
    <w:uiPriority w:val="99"/>
    <w:rPr>
      <w:rFonts w:ascii="Calibri" w:hAnsi="Calibri" w:cs="黑体"/>
      <w:b/>
      <w:bCs/>
      <w:sz w:val="32"/>
      <w:szCs w:val="32"/>
    </w:rPr>
  </w:style>
  <w:style w:type="character" w:customStyle="1" w:styleId="11">
    <w:name w:val="Footer Char"/>
    <w:basedOn w:val="7"/>
    <w:link w:val="3"/>
    <w:qFormat/>
    <w:uiPriority w:val="99"/>
    <w:rPr>
      <w:rFonts w:ascii="Calibri" w:hAnsi="Calibri" w:cs="黑体"/>
      <w:sz w:val="18"/>
      <w:szCs w:val="18"/>
    </w:rPr>
  </w:style>
  <w:style w:type="character" w:customStyle="1" w:styleId="12">
    <w:name w:val="Header Char"/>
    <w:basedOn w:val="7"/>
    <w:link w:val="4"/>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557</Words>
  <Characters>572</Characters>
  <Lines>0</Lines>
  <Paragraphs>0</Paragraphs>
  <TotalTime>1</TotalTime>
  <ScaleCrop>false</ScaleCrop>
  <LinksUpToDate>false</LinksUpToDate>
  <CharactersWithSpaces>671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2024-07-29T08:38:00Z</dcterms:created>
  <dc:creator>Administrator</dc:creator>
  <cp:lastModifiedBy>豆沙</cp:lastModifiedBy>
  <cp:lastPrinted>2024-07-30T03:40:00Z</cp:lastPrinted>
  <dcterms:modified xsi:type="dcterms:W3CDTF">2025-12-29T03:13:34Z</dcterms:modified>
  <dc:title>道县公安局交警大队关于《关于对道县滨河路（敦颐广场至食品站路口）实行交通管制的通告》的政策解读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eyJoZGlkIjoiYzM1OTJhZTZmM2U1NmQwYTI3MzZiM2JlZDVkMzZiOGYiLCJ1c2VySWQiOiI5OTEyOTgzMjQifQ==</vt:lpwstr>
  </property>
  <property fmtid="{D5CDD505-2E9C-101B-9397-08002B2CF9AE}" pid="4" name="ICV">
    <vt:lpwstr>13A3BB776329427F8182390DE3C45154_12</vt:lpwstr>
  </property>
</Properties>
</file>