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仿宋_GB2312" w:hAnsi="仿宋_GB2312" w:eastAsia="仿宋_GB2312" w:cs="仿宋_GB2312"/>
          <w:b w:val="0"/>
          <w:bCs w:val="0"/>
          <w:spacing w:val="-16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pacing w:val="-7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30"/>
          <w:szCs w:val="30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pacing w:val="-53"/>
          <w:sz w:val="30"/>
          <w:szCs w:val="30"/>
        </w:rPr>
        <w:t xml:space="preserve"> </w:t>
      </w:r>
      <w:bookmarkStart w:id="0" w:name="_GoBack"/>
      <w:bookmarkEnd w:id="0"/>
    </w:p>
    <w:p>
      <w:pPr>
        <w:spacing w:before="98" w:line="224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湖南省农产品产地冷藏保鲜设施建设补助标准参照表</w:t>
      </w:r>
    </w:p>
    <w:p>
      <w:pPr>
        <w:spacing w:line="142" w:lineRule="exact"/>
        <w:rPr>
          <w:rFonts w:ascii="Calibri" w:hAnsi="Calibri" w:eastAsia="宋体" w:cs="Times New Roman"/>
          <w:szCs w:val="22"/>
        </w:rPr>
      </w:pPr>
    </w:p>
    <w:tbl>
      <w:tblPr>
        <w:tblStyle w:val="4"/>
        <w:tblW w:w="8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655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302" w:line="221" w:lineRule="auto"/>
              <w:ind w:left="528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kern w:val="2"/>
                <w:sz w:val="22"/>
                <w:szCs w:val="22"/>
                <w:lang w:val="en-US" w:eastAsia="en-US" w:bidi="ar-SA"/>
              </w:rPr>
              <w:t>序号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301" w:line="219" w:lineRule="auto"/>
              <w:ind w:left="1385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en-US" w:bidi="ar-SA"/>
              </w:rPr>
              <w:t>设施类别</w:t>
            </w:r>
          </w:p>
        </w:tc>
        <w:tc>
          <w:tcPr>
            <w:tcW w:w="3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60"/>
              <w:jc w:val="both"/>
              <w:textAlignment w:val="auto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kern w:val="2"/>
                <w:sz w:val="22"/>
                <w:szCs w:val="22"/>
                <w:lang w:val="en-US" w:eastAsia="en-US" w:bidi="ar-SA"/>
              </w:rPr>
              <w:t>指导价格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90"/>
              <w:jc w:val="both"/>
              <w:textAlignment w:val="auto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kern w:val="2"/>
                <w:sz w:val="22"/>
                <w:szCs w:val="22"/>
                <w:lang w:val="en-US" w:eastAsia="en-US" w:bidi="ar-SA"/>
              </w:rPr>
              <w:t>(元/立方米)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16" w:line="184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1" w:line="219" w:lineRule="auto"/>
              <w:ind w:left="116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kern w:val="2"/>
                <w:sz w:val="22"/>
                <w:szCs w:val="22"/>
                <w:lang w:val="en-US" w:eastAsia="en-US" w:bidi="ar-SA"/>
              </w:rPr>
              <w:t>组装式通风库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0" w:line="236" w:lineRule="auto"/>
              <w:ind w:left="1476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6"/>
                <w:kern w:val="2"/>
                <w:sz w:val="22"/>
                <w:szCs w:val="22"/>
                <w:lang w:val="en-US" w:eastAsia="en-US" w:bidi="ar-SA"/>
              </w:rPr>
              <w:t>≤50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09" w:line="183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53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预冷库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72" w:line="236" w:lineRule="auto"/>
              <w:ind w:left="1366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kern w:val="2"/>
                <w:sz w:val="22"/>
                <w:szCs w:val="22"/>
                <w:lang w:val="en-US" w:eastAsia="en-US" w:bidi="ar-SA"/>
              </w:rPr>
              <w:t>≤1200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20" w:line="183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4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高温库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3" w:line="236" w:lineRule="auto"/>
              <w:ind w:left="1417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22"/>
                <w:szCs w:val="22"/>
                <w:lang w:val="en-US" w:eastAsia="en-US" w:bidi="ar-SA"/>
              </w:rPr>
              <w:t>≤600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22" w:line="183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6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低温库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5" w:line="236" w:lineRule="auto"/>
              <w:ind w:left="1417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22"/>
                <w:szCs w:val="22"/>
                <w:lang w:val="en-US" w:eastAsia="en-US" w:bidi="ar-SA"/>
              </w:rPr>
              <w:t>≤800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13" w:type="dxa"/>
            <w:vAlign w:val="top"/>
          </w:tcPr>
          <w:p>
            <w:pPr>
              <w:widowControl w:val="0"/>
              <w:spacing w:before="225" w:line="182" w:lineRule="auto"/>
              <w:ind w:left="694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655" w:type="dxa"/>
            <w:vAlign w:val="top"/>
          </w:tcPr>
          <w:p>
            <w:pPr>
              <w:widowControl w:val="0"/>
              <w:spacing w:before="167" w:line="219" w:lineRule="auto"/>
              <w:ind w:left="1491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kern w:val="2"/>
                <w:sz w:val="22"/>
                <w:szCs w:val="22"/>
                <w:lang w:val="en-US" w:eastAsia="en-US" w:bidi="ar-SA"/>
              </w:rPr>
              <w:t>气调库</w:t>
            </w:r>
          </w:p>
        </w:tc>
        <w:tc>
          <w:tcPr>
            <w:tcW w:w="3401" w:type="dxa"/>
            <w:vAlign w:val="top"/>
          </w:tcPr>
          <w:p>
            <w:pPr>
              <w:widowControl w:val="0"/>
              <w:spacing w:before="188"/>
              <w:ind w:left="1417"/>
              <w:jc w:val="both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2"/>
                <w:szCs w:val="22"/>
                <w:lang w:val="en-US" w:eastAsia="en-US" w:bidi="ar-SA"/>
              </w:rPr>
              <w:t>&lt;1000</w:t>
            </w:r>
          </w:p>
        </w:tc>
      </w:tr>
    </w:tbl>
    <w:p>
      <w:pPr>
        <w:spacing w:before="58" w:line="232" w:lineRule="auto"/>
        <w:ind w:firstLine="426" w:firstLineChars="20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14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3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5"/>
          <w:sz w:val="24"/>
          <w:szCs w:val="24"/>
        </w:rPr>
        <w:t>(一)计算标准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7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1.总造价包含承建商库体合同造价(库体及保温、制冷系统等)</w:t>
      </w:r>
      <w:r>
        <w:rPr>
          <w:rFonts w:ascii="仿宋" w:hAnsi="仿宋" w:eastAsia="仿宋" w:cs="仿宋"/>
          <w:spacing w:val="1"/>
          <w:sz w:val="24"/>
          <w:szCs w:val="24"/>
        </w:rPr>
        <w:t>和必要的辅助设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施造价，不再包含“三通一平”造价。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5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2.补助资金按净库容×指导价格(或总造价，取两者较低</w:t>
      </w:r>
      <w:r>
        <w:rPr>
          <w:rFonts w:ascii="仿宋" w:hAnsi="仿宋" w:eastAsia="仿宋" w:cs="仿宋"/>
          <w:spacing w:val="-4"/>
          <w:sz w:val="24"/>
          <w:szCs w:val="24"/>
        </w:rPr>
        <w:t>者)×补助比例计算。补</w:t>
      </w:r>
      <w:r>
        <w:rPr>
          <w:rFonts w:ascii="仿宋" w:hAnsi="仿宋" w:eastAsia="仿宋" w:cs="仿宋"/>
          <w:spacing w:val="10"/>
          <w:sz w:val="24"/>
          <w:szCs w:val="24"/>
        </w:rPr>
        <w:t>助比例按一般县</w:t>
      </w:r>
      <w:r>
        <w:rPr>
          <w:rFonts w:ascii="宋体" w:hAnsi="宋体" w:eastAsia="宋体" w:cs="宋体"/>
          <w:spacing w:val="-5"/>
          <w:kern w:val="2"/>
          <w:sz w:val="22"/>
          <w:szCs w:val="22"/>
          <w:lang w:val="en-US" w:eastAsia="en-US" w:bidi="ar-SA"/>
        </w:rPr>
        <w:t>≤</w:t>
      </w:r>
      <w:r>
        <w:rPr>
          <w:rFonts w:ascii="仿宋" w:hAnsi="仿宋" w:eastAsia="仿宋" w:cs="仿宋"/>
          <w:spacing w:val="10"/>
          <w:sz w:val="24"/>
          <w:szCs w:val="24"/>
        </w:rPr>
        <w:t>30%、国家级脱贫县</w:t>
      </w:r>
      <w:r>
        <w:rPr>
          <w:rFonts w:ascii="宋体" w:hAnsi="宋体" w:eastAsia="宋体" w:cs="宋体"/>
          <w:spacing w:val="-5"/>
          <w:kern w:val="2"/>
          <w:sz w:val="22"/>
          <w:szCs w:val="22"/>
          <w:lang w:val="en-US" w:eastAsia="en-US" w:bidi="ar-SA"/>
        </w:rPr>
        <w:t>≤</w:t>
      </w:r>
      <w:r>
        <w:rPr>
          <w:rFonts w:ascii="仿宋" w:hAnsi="仿宋" w:eastAsia="仿宋" w:cs="仿宋"/>
          <w:spacing w:val="10"/>
          <w:sz w:val="24"/>
          <w:szCs w:val="24"/>
        </w:rPr>
        <w:t>40%标准执行。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3.单个实施主体预冷库补助净库容最多不超过2</w:t>
      </w:r>
      <w:r>
        <w:rPr>
          <w:rFonts w:ascii="仿宋" w:hAnsi="仿宋" w:eastAsia="仿宋" w:cs="仿宋"/>
          <w:spacing w:val="-2"/>
          <w:sz w:val="24"/>
          <w:szCs w:val="24"/>
        </w:rPr>
        <w:t>51立方米，超出部分按高温库指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导单价补助；历年来累计享受补助的产地冷藏保鲜设施数量不超过4个，补助资金不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4.“库中库”按照大库减去小库容积计算，即同一容积内只计算一</w:t>
      </w:r>
      <w:r>
        <w:rPr>
          <w:rFonts w:ascii="仿宋" w:hAnsi="仿宋" w:eastAsia="仿宋" w:cs="仿宋"/>
          <w:spacing w:val="-12"/>
          <w:sz w:val="24"/>
          <w:szCs w:val="24"/>
        </w:rPr>
        <w:t>种补助。如在通</w:t>
      </w:r>
      <w:r>
        <w:rPr>
          <w:rFonts w:ascii="仿宋" w:hAnsi="仿宋" w:eastAsia="仿宋" w:cs="仿宋"/>
          <w:spacing w:val="-4"/>
          <w:sz w:val="24"/>
          <w:szCs w:val="24"/>
        </w:rPr>
        <w:t>风库中建设了高温库，高温库容积按照实际容积计算，通风库容积按照总库总容减去</w:t>
      </w:r>
      <w:r>
        <w:rPr>
          <w:rFonts w:ascii="仿宋" w:hAnsi="仿宋" w:eastAsia="仿宋" w:cs="仿宋"/>
          <w:spacing w:val="-8"/>
          <w:sz w:val="24"/>
          <w:szCs w:val="24"/>
        </w:rPr>
        <w:t>高温库容积。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3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6"/>
          <w:sz w:val="24"/>
          <w:szCs w:val="24"/>
        </w:rPr>
        <w:t>(二)设施设备要求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3" w:firstLine="449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1.预冷库、高温库及气调库冷库门厚度须达到100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mm,  </w:t>
      </w:r>
      <w:r>
        <w:rPr>
          <w:rFonts w:ascii="仿宋" w:hAnsi="仿宋" w:eastAsia="仿宋" w:cs="仿宋"/>
          <w:spacing w:val="-3"/>
          <w:sz w:val="24"/>
          <w:szCs w:val="24"/>
        </w:rPr>
        <w:t>低温库冷库门厚度须达到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150mm;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9" w:right="57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2.预冷库、高温库、低温库及气调库保温材料(聚氨酯保温板)厚度须达到15</w:t>
      </w:r>
      <w:r>
        <w:rPr>
          <w:rFonts w:ascii="仿宋" w:hAnsi="仿宋" w:eastAsia="仿宋" w:cs="仿宋"/>
          <w:spacing w:val="-7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mm;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9" w:right="57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3.防火等级为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B1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级阻燃；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7" w:firstLine="449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4.根据农业农村部要求，可配备必要辅助设施(称量、清洗、分级、检测等设备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以及新建贮藏设施专用的供配电设备)。辅助设施造价不得高于总</w:t>
      </w:r>
      <w:r>
        <w:rPr>
          <w:rFonts w:ascii="仿宋" w:hAnsi="仿宋" w:eastAsia="仿宋" w:cs="仿宋"/>
          <w:spacing w:val="-2"/>
          <w:sz w:val="24"/>
          <w:szCs w:val="24"/>
        </w:rPr>
        <w:t>造价50%。</w:t>
      </w:r>
    </w:p>
    <w:p>
      <w:pPr>
        <w:ind w:firstLine="460" w:firstLineChars="200"/>
      </w:pPr>
      <w:r>
        <w:rPr>
          <w:rFonts w:ascii="仿宋" w:hAnsi="仿宋" w:eastAsia="仿宋" w:cs="仿宋"/>
          <w:spacing w:val="-5"/>
          <w:sz w:val="24"/>
          <w:szCs w:val="24"/>
        </w:rPr>
        <w:t>5.包含压缩机、冷风机在内的所有设施设备须为国内外正规厂家合格产品。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阿里巴巴普惠体 B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2RjMzQ3NGIzY2Y3ZGFiZmM1NGRmYmVkZWRmYWUifQ=="/>
  </w:docVars>
  <w:rsids>
    <w:rsidRoot w:val="52614D23"/>
    <w:rsid w:val="094C5CE8"/>
    <w:rsid w:val="52614D23"/>
    <w:rsid w:val="613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587</Characters>
  <Lines>0</Lines>
  <Paragraphs>0</Paragraphs>
  <TotalTime>5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2024-06-24T01:54:00Z</dcterms:created>
  <dc:creator>张航</dc:creator>
  <cp:lastModifiedBy>品涵</cp:lastModifiedBy>
  <dcterms:modified xsi:type="dcterms:W3CDTF">2024-07-03T09:31:11Z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0815495C59EC4600A4E42FA1F11F2D9E_11</vt:lpwstr>
  </property>
</Properties>
</file>