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Lines="50" w:afterLines="50"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经营</w:t>
      </w:r>
      <w:r>
        <w:rPr>
          <w:rFonts w:ascii="Times New Roman" w:hAnsi="Times New Roman" w:eastAsia="方正小标宋_GBK" w:cs="Times New Roman"/>
          <w:sz w:val="44"/>
          <w:szCs w:val="44"/>
        </w:rPr>
        <w:t>主体20</w:t>
      </w:r>
      <w:r>
        <w:rPr>
          <w:rFonts w:hint="eastAsia" w:ascii="Times New Roman" w:hAnsi="Times New Roman" w:eastAsia="方正小标宋_GBK" w:cs="Times New Roman"/>
          <w:sz w:val="44"/>
          <w:szCs w:val="44"/>
          <w:lang w:val="en-US" w:eastAsia="zh-CN"/>
        </w:rPr>
        <w:t>23</w:t>
      </w:r>
      <w:r>
        <w:rPr>
          <w:rFonts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rPr>
        <w:t>年报填报</w:t>
      </w:r>
      <w:r>
        <w:rPr>
          <w:rFonts w:ascii="Times New Roman" w:hAnsi="Times New Roman" w:eastAsia="方正小标宋_GBK" w:cs="Times New Roman"/>
          <w:sz w:val="44"/>
          <w:szCs w:val="44"/>
        </w:rPr>
        <w:t>指南</w:t>
      </w:r>
    </w:p>
    <w:p>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w:t>
      </w:r>
      <w:r>
        <w:rPr>
          <w:rFonts w:ascii="黑体" w:hAnsi="黑体" w:eastAsia="黑体" w:cs="Times New Roman"/>
          <w:spacing w:val="-4"/>
          <w:sz w:val="32"/>
          <w:szCs w:val="32"/>
        </w:rPr>
        <w:t>、填</w:t>
      </w:r>
      <w:r>
        <w:rPr>
          <w:rFonts w:hint="eastAsia" w:ascii="黑体" w:hAnsi="黑体" w:eastAsia="黑体" w:cs="Times New Roman"/>
          <w:spacing w:val="-4"/>
          <w:sz w:val="32"/>
          <w:szCs w:val="32"/>
        </w:rPr>
        <w:t>报流程</w:t>
      </w:r>
    </w:p>
    <w:p>
      <w:pPr>
        <w:spacing w:line="60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说明：本填报指南以企业年报为例，农民专业合作社</w:t>
      </w:r>
      <w:r>
        <w:rPr>
          <w:rFonts w:hint="eastAsia" w:ascii="Times New Roman" w:hAnsi="Times New Roman" w:eastAsia="仿宋_GB2312" w:cs="Times New Roman"/>
          <w:spacing w:val="-4"/>
          <w:sz w:val="32"/>
          <w:szCs w:val="32"/>
          <w:lang w:eastAsia="zh-CN"/>
        </w:rPr>
        <w:t>和</w:t>
      </w:r>
      <w:r>
        <w:rPr>
          <w:rFonts w:hint="eastAsia" w:ascii="Times New Roman" w:hAnsi="Times New Roman" w:eastAsia="仿宋_GB2312" w:cs="Times New Roman"/>
          <w:spacing w:val="-4"/>
          <w:sz w:val="32"/>
          <w:szCs w:val="32"/>
        </w:rPr>
        <w:t>个体工商户年报以此为参考。</w:t>
      </w:r>
    </w:p>
    <w:p>
      <w:pPr>
        <w:spacing w:line="600" w:lineRule="exact"/>
        <w:ind w:firstLine="642"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第一步：</w:t>
      </w:r>
      <w:r>
        <w:rPr>
          <w:rFonts w:hint="eastAsia" w:ascii="楷体_GB2312" w:hAnsi="Times New Roman" w:eastAsia="楷体_GB2312" w:cs="Times New Roman"/>
          <w:sz w:val="32"/>
          <w:szCs w:val="32"/>
        </w:rPr>
        <w:t>登录公示系统。</w:t>
      </w:r>
    </w:p>
    <w:p>
      <w:pPr>
        <w:spacing w:line="600" w:lineRule="exact"/>
        <w:ind w:firstLine="62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4"/>
          <w:sz w:val="32"/>
          <w:szCs w:val="32"/>
        </w:rPr>
        <w:t>登录</w:t>
      </w:r>
      <w:r>
        <w:rPr>
          <w:rFonts w:ascii="Times New Roman" w:hAnsi="Times New Roman" w:eastAsia="仿宋_GB2312" w:cs="Times New Roman"/>
          <w:spacing w:val="-4"/>
          <w:sz w:val="32"/>
          <w:szCs w:val="32"/>
        </w:rPr>
        <w:t>国家企业信用信息公示系统（湖南）（http://hn.gsxt.gov.cn），</w:t>
      </w: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“企业信息填报”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进入登录页面</w:t>
      </w:r>
      <w:r>
        <w:rPr>
          <w:rFonts w:hint="eastAsia" w:ascii="Times New Roman" w:hAnsi="Times New Roman" w:eastAsia="仿宋_GB2312" w:cs="Times New Roman"/>
          <w:sz w:val="32"/>
          <w:szCs w:val="32"/>
        </w:rPr>
        <w:t>；或通过“</w:t>
      </w:r>
      <w:r>
        <w:rPr>
          <w:rFonts w:ascii="Times New Roman" w:hAnsi="Times New Roman" w:eastAsia="仿宋_GB2312" w:cs="Times New Roman"/>
          <w:sz w:val="32"/>
          <w:szCs w:val="32"/>
        </w:rPr>
        <w:t>湖南企业年报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w:t>
      </w:r>
      <w:r>
        <w:rPr>
          <w:rFonts w:hint="eastAsia" w:ascii="Times New Roman" w:hAnsi="Times New Roman" w:eastAsia="仿宋_GB2312" w:cs="Times New Roman"/>
          <w:sz w:val="32"/>
          <w:szCs w:val="32"/>
        </w:rPr>
        <w:t>，点击“年报</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”，进入</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当前系统提供</w:t>
      </w:r>
      <w:r>
        <w:rPr>
          <w:rFonts w:hint="eastAsia" w:ascii="Times New Roman" w:hAnsi="Times New Roman" w:eastAsia="仿宋_GB2312" w:cs="Times New Roman"/>
          <w:sz w:val="32"/>
          <w:szCs w:val="32"/>
        </w:rPr>
        <w:t>以下四</w:t>
      </w:r>
      <w:r>
        <w:rPr>
          <w:rFonts w:ascii="Times New Roman" w:hAnsi="Times New Roman" w:eastAsia="仿宋_GB2312" w:cs="Times New Roman"/>
          <w:sz w:val="32"/>
          <w:szCs w:val="32"/>
        </w:rPr>
        <w:t>种登录方式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湖南企业年报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App支持前两</w:t>
      </w:r>
      <w:r>
        <w:rPr>
          <w:rFonts w:hint="eastAsia" w:ascii="Times New Roman" w:hAnsi="Times New Roman" w:eastAsia="仿宋_GB2312" w:cs="Times New Roman"/>
          <w:sz w:val="32"/>
          <w:szCs w:val="32"/>
        </w:rPr>
        <w:t>种）：</w:t>
      </w:r>
    </w:p>
    <w:p>
      <w:pPr>
        <w:numPr>
          <w:ilvl w:val="0"/>
          <w:numId w:val="1"/>
        </w:num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电子营业执照登录。适用于已领取电子营业执照的企业。</w:t>
      </w:r>
    </w:p>
    <w:p>
      <w:pPr>
        <w:numPr>
          <w:ilvl w:val="0"/>
          <w:numId w:val="1"/>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工商</w:t>
      </w:r>
      <w:r>
        <w:rPr>
          <w:rFonts w:ascii="Times New Roman" w:hAnsi="Times New Roman" w:eastAsia="仿宋_GB2312" w:cs="Times New Roman"/>
          <w:sz w:val="32"/>
          <w:szCs w:val="32"/>
        </w:rPr>
        <w:t>联络员登录</w:t>
      </w:r>
      <w:r>
        <w:rPr>
          <w:rFonts w:hint="eastAsia" w:ascii="Times New Roman" w:hAnsi="Times New Roman" w:eastAsia="仿宋_GB2312" w:cs="Times New Roman"/>
          <w:sz w:val="32"/>
          <w:szCs w:val="32"/>
        </w:rPr>
        <w:t>。采用发送短信验证码方式，请确保手机可以正常接收；</w:t>
      </w:r>
      <w:r>
        <w:rPr>
          <w:rFonts w:ascii="Times New Roman" w:hAnsi="Times New Roman" w:eastAsia="仿宋_GB2312" w:cs="Times New Roman"/>
          <w:sz w:val="32"/>
          <w:szCs w:val="32"/>
        </w:rPr>
        <w:t>如备案的联络员</w:t>
      </w:r>
      <w:r>
        <w:rPr>
          <w:rFonts w:hint="eastAsia" w:ascii="Times New Roman" w:hAnsi="Times New Roman" w:eastAsia="仿宋_GB2312" w:cs="Times New Roman"/>
          <w:sz w:val="32"/>
          <w:szCs w:val="32"/>
        </w:rPr>
        <w:t>发生</w:t>
      </w:r>
      <w:r>
        <w:rPr>
          <w:rFonts w:ascii="Times New Roman" w:hAnsi="Times New Roman" w:eastAsia="仿宋_GB2312" w:cs="Times New Roman"/>
          <w:sz w:val="32"/>
          <w:szCs w:val="32"/>
        </w:rPr>
        <w:t>变更，请</w:t>
      </w:r>
      <w:r>
        <w:rPr>
          <w:rFonts w:hint="eastAsia" w:ascii="Times New Roman" w:hAnsi="Times New Roman" w:eastAsia="仿宋_GB2312" w:cs="Times New Roman"/>
          <w:sz w:val="32"/>
          <w:szCs w:val="32"/>
        </w:rPr>
        <w:t>重新备案</w:t>
      </w:r>
      <w:r>
        <w:rPr>
          <w:rFonts w:ascii="Times New Roman" w:hAnsi="Times New Roman" w:eastAsia="仿宋_GB2312" w:cs="Times New Roman"/>
          <w:sz w:val="32"/>
          <w:szCs w:val="32"/>
        </w:rPr>
        <w:t>联络员信息后再进行申报</w:t>
      </w:r>
      <w:r>
        <w:rPr>
          <w:rFonts w:hint="eastAsia" w:ascii="Times New Roman" w:hAnsi="Times New Roman" w:eastAsia="方正仿宋_GBK" w:cs="Times New Roman"/>
          <w:sz w:val="32"/>
          <w:szCs w:val="32"/>
        </w:rPr>
        <w:t>（</w:t>
      </w:r>
      <w:r>
        <w:rPr>
          <w:rFonts w:hint="eastAsia" w:ascii="Times New Roman" w:hAnsi="Times New Roman" w:eastAsia="仿宋_GB2312" w:cs="Times New Roman"/>
          <w:sz w:val="32"/>
          <w:szCs w:val="32"/>
        </w:rPr>
        <w:t>联络员备案请参考“联络员备案须知”</w:t>
      </w:r>
      <w:r>
        <w:rPr>
          <w:rFonts w:hint="eastAsia" w:ascii="Times New Roman" w:hAnsi="Times New Roman" w:eastAsia="方正仿宋_GBK" w:cs="Times New Roman"/>
          <w:sz w:val="32"/>
          <w:szCs w:val="32"/>
        </w:rPr>
        <w:t>）</w:t>
      </w:r>
      <w:r>
        <w:rPr>
          <w:rFonts w:ascii="Times New Roman" w:hAnsi="Times New Roman" w:eastAsia="仿宋_GB2312" w:cs="Times New Roman"/>
          <w:sz w:val="32"/>
          <w:szCs w:val="32"/>
        </w:rPr>
        <w:t>。</w:t>
      </w:r>
    </w:p>
    <w:p>
      <w:pPr>
        <w:numPr>
          <w:ilvl w:val="0"/>
          <w:numId w:val="1"/>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经营者</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。通过统一社会信用代码</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注册号/身份证号登录，请确保统一社会信用代码</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注册号/身份证号无误</w:t>
      </w:r>
      <w:r>
        <w:rPr>
          <w:rFonts w:ascii="Times New Roman" w:hAnsi="Times New Roman" w:eastAsia="仿宋_GB2312" w:cs="Times New Roman"/>
          <w:sz w:val="32"/>
          <w:szCs w:val="32"/>
        </w:rPr>
        <w:t>。</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CA证书登录</w:t>
      </w:r>
      <w:r>
        <w:rPr>
          <w:rFonts w:hint="eastAsia" w:ascii="Times New Roman" w:hAnsi="Times New Roman" w:eastAsia="仿宋_GB2312" w:cs="Times New Roman"/>
          <w:sz w:val="32"/>
          <w:szCs w:val="32"/>
        </w:rPr>
        <w:t>。请联系湖南省数字认证服务中心有限公司办理证书申请及有效期延期（联系电话：400-6682666）</w:t>
      </w:r>
      <w:r>
        <w:rPr>
          <w:rFonts w:ascii="Times New Roman" w:hAnsi="Times New Roman" w:eastAsia="仿宋_GB2312" w:cs="Times New Roman"/>
          <w:sz w:val="32"/>
          <w:szCs w:val="32"/>
        </w:rPr>
        <w:t>。</w:t>
      </w:r>
    </w:p>
    <w:p>
      <w:pPr>
        <w:spacing w:line="600" w:lineRule="exact"/>
        <w:ind w:firstLine="642"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第二步：</w:t>
      </w:r>
      <w:r>
        <w:rPr>
          <w:rFonts w:hint="eastAsia" w:ascii="楷体_GB2312" w:hAnsi="黑体" w:eastAsia="楷体_GB2312" w:cs="Times New Roman"/>
          <w:sz w:val="32"/>
          <w:szCs w:val="32"/>
        </w:rPr>
        <w:t>进入登录后首页，选择“年度报告填写”。（通过“湖南企业年报”</w:t>
      </w:r>
      <w:r>
        <w:rPr>
          <w:rFonts w:ascii="Times New Roman" w:hAnsi="Times New Roman" w:eastAsia="楷体_GB2312" w:cs="Times New Roman"/>
          <w:sz w:val="32"/>
          <w:szCs w:val="32"/>
        </w:rPr>
        <w:t>App</w:t>
      </w:r>
      <w:r>
        <w:rPr>
          <w:rFonts w:hint="eastAsia" w:ascii="楷体_GB2312" w:hAnsi="黑体" w:eastAsia="楷体_GB2312" w:cs="Times New Roman"/>
          <w:sz w:val="32"/>
          <w:szCs w:val="32"/>
        </w:rPr>
        <w:t>填报的略</w:t>
      </w:r>
      <w:r>
        <w:rPr>
          <w:rFonts w:ascii="楷体_GB2312" w:hAnsi="黑体" w:eastAsia="楷体_GB2312" w:cs="Times New Roman"/>
          <w:sz w:val="32"/>
          <w:szCs w:val="32"/>
        </w:rPr>
        <w:t>过此步</w:t>
      </w:r>
      <w:r>
        <w:rPr>
          <w:rFonts w:hint="eastAsia" w:ascii="楷体_GB2312" w:hAnsi="黑体" w:eastAsia="楷体_GB2312" w:cs="Times New Roman"/>
          <w:sz w:val="32"/>
          <w:szCs w:val="32"/>
        </w:rPr>
        <w:t>）</w:t>
      </w:r>
    </w:p>
    <w:p>
      <w:pPr>
        <w:spacing w:line="600" w:lineRule="exact"/>
        <w:ind w:firstLine="642" w:firstLineChars="200"/>
        <w:rPr>
          <w:rFonts w:ascii="黑体" w:hAnsi="黑体" w:eastAsia="黑体" w:cs="Times New Roman"/>
          <w:sz w:val="32"/>
          <w:szCs w:val="32"/>
        </w:rPr>
      </w:pPr>
      <w:r>
        <w:rPr>
          <w:rFonts w:hint="eastAsia" w:ascii="楷体_GB2312" w:hAnsi="黑体" w:eastAsia="楷体_GB2312" w:cs="Times New Roman"/>
          <w:b/>
          <w:sz w:val="32"/>
          <w:szCs w:val="32"/>
        </w:rPr>
        <w:t>第三步：请仔细阅读填报须知</w:t>
      </w:r>
      <w:r>
        <w:rPr>
          <w:rFonts w:hint="eastAsia" w:ascii="楷体_GB2312" w:hAnsi="黑体" w:eastAsia="楷体_GB2312" w:cs="Times New Roman"/>
          <w:sz w:val="32"/>
          <w:szCs w:val="32"/>
        </w:rPr>
        <w:t>，选择“我已</w:t>
      </w:r>
      <w:r>
        <w:rPr>
          <w:rFonts w:ascii="楷体_GB2312" w:hAnsi="黑体" w:eastAsia="楷体_GB2312" w:cs="Times New Roman"/>
          <w:sz w:val="32"/>
          <w:szCs w:val="32"/>
        </w:rPr>
        <w:t>阅读以上填报须知</w:t>
      </w:r>
      <w:r>
        <w:rPr>
          <w:rFonts w:hint="eastAsia" w:ascii="楷体_GB2312" w:hAnsi="黑体" w:eastAsia="楷体_GB2312" w:cs="Times New Roman"/>
          <w:sz w:val="32"/>
          <w:szCs w:val="32"/>
        </w:rPr>
        <w:t>”，并</w:t>
      </w:r>
      <w:r>
        <w:rPr>
          <w:rFonts w:ascii="楷体_GB2312" w:hAnsi="黑体" w:eastAsia="楷体_GB2312" w:cs="Times New Roman"/>
          <w:sz w:val="32"/>
          <w:szCs w:val="32"/>
        </w:rPr>
        <w:t>“</w:t>
      </w:r>
      <w:r>
        <w:rPr>
          <w:rFonts w:hint="eastAsia" w:ascii="楷体_GB2312" w:hAnsi="黑体" w:eastAsia="楷体_GB2312" w:cs="Times New Roman"/>
          <w:sz w:val="32"/>
          <w:szCs w:val="32"/>
        </w:rPr>
        <w:t>确认</w:t>
      </w:r>
      <w:r>
        <w:rPr>
          <w:rFonts w:ascii="楷体_GB2312" w:hAnsi="黑体" w:eastAsia="楷体_GB2312" w:cs="Times New Roman"/>
          <w:sz w:val="32"/>
          <w:szCs w:val="32"/>
        </w:rPr>
        <w:t>”</w:t>
      </w:r>
      <w:r>
        <w:rPr>
          <w:rFonts w:hint="eastAsia" w:ascii="楷体_GB2312" w:hAnsi="黑体" w:eastAsia="楷体_GB2312" w:cs="Times New Roman"/>
          <w:sz w:val="32"/>
          <w:szCs w:val="32"/>
        </w:rPr>
        <w:t>。</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第四步：</w:t>
      </w:r>
      <w:r>
        <w:rPr>
          <w:rFonts w:hint="eastAsia" w:ascii="楷体_GB2312" w:hAnsi="黑体" w:eastAsia="楷体_GB2312" w:cs="Times New Roman"/>
          <w:sz w:val="32"/>
          <w:szCs w:val="32"/>
        </w:rPr>
        <w:t>选择填报年度。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如往年未填报，须先补报</w:t>
      </w:r>
      <w:r>
        <w:rPr>
          <w:rFonts w:hint="eastAsia" w:ascii="Times New Roman" w:hAnsi="Times New Roman" w:eastAsia="仿宋_GB2312" w:cs="Times New Roman"/>
          <w:sz w:val="32"/>
          <w:szCs w:val="32"/>
        </w:rPr>
        <w:t>往年年报</w:t>
      </w:r>
      <w:r>
        <w:rPr>
          <w:rFonts w:ascii="Times New Roman" w:hAnsi="Times New Roman" w:eastAsia="仿宋_GB2312" w:cs="Times New Roman"/>
          <w:sz w:val="32"/>
          <w:szCs w:val="32"/>
        </w:rPr>
        <w:t>，再报送本年度年报。</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第五步：</w:t>
      </w:r>
      <w:r>
        <w:rPr>
          <w:rFonts w:hint="eastAsia" w:ascii="楷体_GB2312" w:hAnsi="黑体" w:eastAsia="楷体_GB2312" w:cs="Times New Roman"/>
          <w:sz w:val="32"/>
          <w:szCs w:val="32"/>
        </w:rPr>
        <w:t>填写年报信息。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rPr>
        <w:t>逐项</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并保存</w:t>
      </w:r>
      <w:r>
        <w:rPr>
          <w:rFonts w:ascii="Times New Roman" w:hAnsi="Times New Roman" w:eastAsia="仿宋_GB2312" w:cs="Times New Roman"/>
          <w:sz w:val="32"/>
          <w:szCs w:val="32"/>
        </w:rPr>
        <w:t>下列信息</w:t>
      </w:r>
      <w:r>
        <w:rPr>
          <w:rFonts w:hint="eastAsia" w:ascii="Times New Roman" w:hAnsi="Times New Roman" w:eastAsia="仿宋_GB2312" w:cs="Times New Roman"/>
          <w:sz w:val="32"/>
          <w:szCs w:val="32"/>
        </w:rPr>
        <w:t>：</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1、疫苗生产许可证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2、充装单位许可证</w:t>
      </w:r>
    </w:p>
    <w:p>
      <w:pPr>
        <w:spacing w:line="600" w:lineRule="exact"/>
        <w:ind w:firstLine="640" w:firstLineChars="200"/>
      </w:pPr>
      <w:r>
        <w:rPr>
          <w:rFonts w:hint="eastAsia"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3、特种设备生产许可证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2"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4、特种设备信息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填写特种设备信息的数据，点击“保存”。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5、</w:t>
      </w:r>
      <w:r>
        <w:rPr>
          <w:rFonts w:hint="eastAsia" w:ascii="Times New Roman" w:hAnsi="Times New Roman" w:eastAsia="仿宋_GB2312" w:cs="Times New Roman"/>
          <w:sz w:val="32"/>
          <w:szCs w:val="32"/>
        </w:rPr>
        <w:t>企业基本信息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填写企业基本信息，点击“保存”。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a、企业填报的</w:t>
      </w:r>
      <w:r>
        <w:rPr>
          <w:rFonts w:hint="eastAsia" w:ascii="Times New Roman" w:hAnsi="Times New Roman" w:eastAsia="仿宋_GB2312" w:cs="Times New Roman"/>
          <w:sz w:val="32"/>
          <w:szCs w:val="32"/>
        </w:rPr>
        <w:t>通讯</w:t>
      </w:r>
      <w:r>
        <w:rPr>
          <w:rFonts w:ascii="Times New Roman" w:hAnsi="Times New Roman" w:eastAsia="仿宋_GB2312" w:cs="Times New Roman"/>
          <w:sz w:val="32"/>
          <w:szCs w:val="32"/>
        </w:rPr>
        <w:t>地址、邮政编码、联系电话、电子邮箱、</w:t>
      </w:r>
      <w:r>
        <w:rPr>
          <w:rFonts w:hint="eastAsia" w:ascii="Times New Roman" w:hAnsi="Times New Roman" w:eastAsia="仿宋_GB2312" w:cs="Times New Roman"/>
          <w:sz w:val="32"/>
          <w:szCs w:val="32"/>
        </w:rPr>
        <w:t>经营</w:t>
      </w:r>
      <w:r>
        <w:rPr>
          <w:rFonts w:ascii="Times New Roman" w:hAnsi="Times New Roman" w:eastAsia="仿宋_GB2312" w:cs="Times New Roman"/>
          <w:sz w:val="32"/>
          <w:szCs w:val="32"/>
        </w:rPr>
        <w:t>状态、网</w:t>
      </w:r>
      <w:r>
        <w:rPr>
          <w:rFonts w:hint="eastAsia" w:ascii="Times New Roman" w:hAnsi="Times New Roman" w:eastAsia="仿宋_GB2312" w:cs="Times New Roman"/>
          <w:sz w:val="32"/>
          <w:szCs w:val="32"/>
        </w:rPr>
        <w:t>站或</w:t>
      </w:r>
      <w:r>
        <w:rPr>
          <w:rFonts w:ascii="Times New Roman" w:hAnsi="Times New Roman" w:eastAsia="仿宋_GB2312" w:cs="Times New Roman"/>
          <w:sz w:val="32"/>
          <w:szCs w:val="32"/>
        </w:rPr>
        <w:t>网站信息均为报送时的</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，其余信息为</w:t>
      </w:r>
      <w:r>
        <w:rPr>
          <w:rFonts w:hint="eastAsia" w:ascii="Times New Roman" w:hAnsi="Times New Roman" w:eastAsia="仿宋_GB2312" w:cs="Times New Roman"/>
          <w:sz w:val="32"/>
          <w:szCs w:val="32"/>
        </w:rPr>
        <w:t>截至20</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12月31日的信息。</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如填报</w:t>
      </w:r>
      <w:r>
        <w:rPr>
          <w:rFonts w:ascii="Times New Roman" w:hAnsi="Times New Roman" w:eastAsia="仿宋_GB2312" w:cs="Times New Roman"/>
          <w:sz w:val="32"/>
          <w:szCs w:val="32"/>
        </w:rPr>
        <w:t>年度有对外担保</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、网站或网店信息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股东股权</w:t>
      </w:r>
      <w:r>
        <w:rPr>
          <w:rFonts w:hint="eastAsia" w:ascii="Times New Roman" w:hAnsi="Times New Roman" w:eastAsia="仿宋_GB2312" w:cs="Times New Roman"/>
          <w:sz w:val="32"/>
          <w:szCs w:val="32"/>
        </w:rPr>
        <w:t>转让</w:t>
      </w:r>
      <w:r>
        <w:rPr>
          <w:rFonts w:ascii="Times New Roman" w:hAnsi="Times New Roman" w:eastAsia="仿宋_GB2312" w:cs="Times New Roman"/>
          <w:sz w:val="32"/>
          <w:szCs w:val="32"/>
        </w:rPr>
        <w:t>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投资信息或购买其他公司股权信息，请</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此页面选择“</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，选择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”左侧信息栏相关信息则为灰色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无法填报</w:t>
      </w:r>
      <w:r>
        <w:rPr>
          <w:rFonts w:hint="eastAsia" w:ascii="Times New Roman" w:hAnsi="Times New Roman" w:eastAsia="仿宋_GB2312" w:cs="Times New Roman"/>
          <w:sz w:val="32"/>
          <w:szCs w:val="32"/>
        </w:rPr>
        <w:t>。</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6、</w:t>
      </w:r>
      <w:r>
        <w:rPr>
          <w:rFonts w:ascii="Times New Roman" w:hAnsi="Times New Roman" w:eastAsia="仿宋_GB2312" w:cs="Times New Roman"/>
          <w:sz w:val="32"/>
          <w:szCs w:val="32"/>
        </w:rPr>
        <w:t>股东及出资信息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：股东的认缴出资额总和应等于注册资本。</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7、</w:t>
      </w:r>
      <w:r>
        <w:rPr>
          <w:rFonts w:hint="eastAsia" w:ascii="Times New Roman" w:hAnsi="Times New Roman" w:eastAsia="仿宋_GB2312" w:cs="Times New Roman"/>
          <w:sz w:val="32"/>
          <w:szCs w:val="32"/>
        </w:rPr>
        <w:t>网站或网店信息</w:t>
      </w:r>
    </w:p>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hint="eastAsia" w:ascii="Times New Roman" w:hAnsi="Times New Roman" w:eastAsia="仿宋_GB2312" w:cs="Times New Roman"/>
          <w:b/>
          <w:sz w:val="32"/>
          <w:szCs w:val="32"/>
        </w:rPr>
        <w:t>。</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8、</w:t>
      </w:r>
      <w:r>
        <w:rPr>
          <w:rFonts w:ascii="Times New Roman" w:hAnsi="Times New Roman" w:eastAsia="仿宋_GB2312" w:cs="Times New Roman"/>
          <w:sz w:val="32"/>
          <w:szCs w:val="32"/>
        </w:rPr>
        <w:t>股权变更信息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：股份有限公司不填报</w:t>
      </w:r>
      <w:r>
        <w:rPr>
          <w:rFonts w:hint="eastAsia" w:ascii="Times New Roman" w:hAnsi="Times New Roman" w:eastAsia="仿宋_GB2312" w:cs="Times New Roman"/>
          <w:sz w:val="32"/>
          <w:szCs w:val="32"/>
        </w:rPr>
        <w:t>此项</w:t>
      </w:r>
      <w:r>
        <w:rPr>
          <w:rFonts w:ascii="Times New Roman" w:hAnsi="Times New Roman" w:eastAsia="仿宋_GB2312" w:cs="Times New Roman"/>
          <w:sz w:val="32"/>
          <w:szCs w:val="32"/>
        </w:rPr>
        <w:t>信息。</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9、</w:t>
      </w:r>
      <w:r>
        <w:rPr>
          <w:rFonts w:ascii="Times New Roman" w:hAnsi="Times New Roman" w:eastAsia="仿宋_GB2312" w:cs="Times New Roman"/>
          <w:sz w:val="32"/>
          <w:szCs w:val="32"/>
        </w:rPr>
        <w:t>对外投资信息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此项</w:t>
      </w:r>
      <w:r>
        <w:rPr>
          <w:rFonts w:ascii="Times New Roman" w:hAnsi="Times New Roman" w:eastAsia="仿宋_GB2312" w:cs="Times New Roman"/>
          <w:sz w:val="32"/>
          <w:szCs w:val="32"/>
        </w:rPr>
        <w:t>仅填报投资设立境内企业的信息（不包括设立的分公司）。</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10、</w:t>
      </w:r>
      <w:r>
        <w:rPr>
          <w:rFonts w:ascii="Times New Roman" w:hAnsi="Times New Roman" w:eastAsia="仿宋_GB2312" w:cs="Times New Roman"/>
          <w:sz w:val="32"/>
          <w:szCs w:val="32"/>
        </w:rPr>
        <w:t>资产状况信息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：集团公司请按照母公司报表填报数据，不要使用合并报表数据；资产总额应该等于负债总额+所有者权益合计。</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11、</w:t>
      </w:r>
      <w:r>
        <w:rPr>
          <w:rFonts w:ascii="Times New Roman" w:hAnsi="Times New Roman" w:eastAsia="仿宋_GB2312" w:cs="Times New Roman"/>
          <w:sz w:val="32"/>
          <w:szCs w:val="32"/>
        </w:rPr>
        <w:t>对外担保信息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12、</w:t>
      </w:r>
      <w:r>
        <w:rPr>
          <w:rFonts w:ascii="Times New Roman" w:hAnsi="Times New Roman" w:eastAsia="仿宋_GB2312" w:cs="Times New Roman"/>
          <w:sz w:val="32"/>
          <w:szCs w:val="32"/>
        </w:rPr>
        <w:t>党建信息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填写党建信息，点击“保存”。</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13、</w:t>
      </w:r>
      <w:r>
        <w:rPr>
          <w:rFonts w:ascii="Times New Roman" w:hAnsi="Times New Roman" w:eastAsia="仿宋_GB2312" w:cs="Times New Roman"/>
          <w:sz w:val="32"/>
          <w:szCs w:val="32"/>
        </w:rPr>
        <w:t>团建信息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填写团建信息，点击“保存”。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提示：以上两项内容（党建信息、团建信息）</w:t>
      </w:r>
      <w:r>
        <w:rPr>
          <w:rFonts w:hint="eastAsia" w:ascii="Times New Roman" w:hAnsi="Times New Roman" w:eastAsia="仿宋_GB2312" w:cs="Times New Roman"/>
          <w:sz w:val="32"/>
          <w:szCs w:val="32"/>
        </w:rPr>
        <w:t>仅</w:t>
      </w:r>
      <w:r>
        <w:rPr>
          <w:rFonts w:ascii="Times New Roman" w:hAnsi="Times New Roman" w:eastAsia="仿宋_GB2312" w:cs="Times New Roman"/>
          <w:sz w:val="32"/>
          <w:szCs w:val="32"/>
        </w:rPr>
        <w:t>部分企业需要填报，不需要填报的企业则不显示上述两项内容。</w:t>
      </w:r>
    </w:p>
    <w:p>
      <w:pPr>
        <w:spacing w:line="600" w:lineRule="exact"/>
        <w:ind w:firstLine="642"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14、</w:t>
      </w:r>
      <w:r>
        <w:rPr>
          <w:rFonts w:ascii="Times New Roman" w:hAnsi="Times New Roman" w:eastAsia="仿宋_GB2312" w:cs="Times New Roman"/>
          <w:sz w:val="32"/>
          <w:szCs w:val="32"/>
        </w:rPr>
        <w:t>社保信息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填写社保信息，点击“保存”。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仿宋_GB2312" w:hAnsi="Times New Roman" w:eastAsia="仿宋_GB2312" w:cs="Times New Roman"/>
          <w:spacing w:val="-2"/>
          <w:sz w:val="32"/>
          <w:szCs w:val="32"/>
        </w:rPr>
        <w:t>★★★海关</w:t>
      </w:r>
      <w:r>
        <w:rPr>
          <w:rFonts w:ascii="仿宋_GB2312" w:hAnsi="Times New Roman" w:eastAsia="仿宋_GB2312" w:cs="Times New Roman"/>
          <w:spacing w:val="-2"/>
          <w:sz w:val="32"/>
          <w:szCs w:val="32"/>
        </w:rPr>
        <w:t>管理企业</w:t>
      </w:r>
      <w:r>
        <w:rPr>
          <w:rFonts w:hint="eastAsia" w:ascii="Times New Roman" w:hAnsi="Times New Roman" w:eastAsia="仿宋_GB2312" w:cs="Times New Roman"/>
          <w:spacing w:val="-2"/>
          <w:sz w:val="32"/>
          <w:szCs w:val="32"/>
        </w:rPr>
        <w:t>还需要填报以下</w:t>
      </w:r>
      <w:r>
        <w:rPr>
          <w:rFonts w:ascii="Times New Roman" w:hAnsi="Times New Roman" w:eastAsia="仿宋_GB2312" w:cs="Times New Roman"/>
          <w:spacing w:val="-2"/>
          <w:sz w:val="32"/>
          <w:szCs w:val="32"/>
        </w:rPr>
        <w:t>信息</w:t>
      </w:r>
      <w:r>
        <w:rPr>
          <w:rFonts w:hint="eastAsia" w:ascii="Times New Roman" w:hAnsi="Times New Roman" w:eastAsia="仿宋_GB2312" w:cs="Times New Roman"/>
          <w:spacing w:val="-2"/>
          <w:sz w:val="32"/>
          <w:szCs w:val="32"/>
        </w:rPr>
        <w:t>项</w:t>
      </w:r>
      <w:r>
        <w:rPr>
          <w:rFonts w:ascii="Times New Roman" w:hAnsi="Times New Roman" w:eastAsia="仿宋_GB2312" w:cs="Times New Roman"/>
          <w:spacing w:val="-2"/>
          <w:sz w:val="32"/>
          <w:szCs w:val="32"/>
        </w:rPr>
        <w:t>。</w:t>
      </w:r>
      <w:r>
        <w:rPr>
          <w:rFonts w:hint="eastAsia" w:ascii="仿宋_GB2312" w:hAnsi="Times New Roman" w:eastAsia="仿宋_GB2312" w:cs="Times New Roman"/>
          <w:spacing w:val="-2"/>
          <w:sz w:val="32"/>
          <w:szCs w:val="32"/>
        </w:rPr>
        <w:t>★★★</w:t>
      </w:r>
    </w:p>
    <w:p>
      <w:pPr>
        <w:spacing w:line="600" w:lineRule="exact"/>
        <w:ind w:firstLine="642"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15</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报关</w:t>
      </w:r>
      <w:r>
        <w:rPr>
          <w:rFonts w:ascii="Times New Roman" w:hAnsi="Times New Roman" w:eastAsia="仿宋_GB2312" w:cs="Times New Roman"/>
          <w:sz w:val="32"/>
          <w:szCs w:val="32"/>
        </w:rPr>
        <w:t>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填写报关信息，点击“保存”。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a</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所有信息项均为必填项，如果该项内容确无信息，应当填写“无”。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“经营补充信息”和“自律信息”为所报告年度的信息，其余信息均为报送时的信息。“自律信息”仅</w:t>
      </w:r>
      <w:r>
        <w:rPr>
          <w:rFonts w:ascii="Times New Roman" w:hAnsi="Times New Roman" w:eastAsia="仿宋_GB2312" w:cs="Times New Roman"/>
          <w:sz w:val="32"/>
          <w:szCs w:val="32"/>
        </w:rPr>
        <w:t>部分企业需要填报。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、英文名称/地址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firstLineChars="20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d、</w:t>
      </w:r>
      <w:r>
        <w:rPr>
          <w:rFonts w:hint="eastAsia" w:ascii="Times New Roman" w:hAnsi="Times New Roman" w:eastAsia="仿宋_GB2312" w:cs="Times New Roman"/>
          <w:sz w:val="32"/>
          <w:szCs w:val="32"/>
        </w:rPr>
        <w:t>跨境贸易电子商务企业类型或非跨境贸易电子商务企业类型：根据企业情况勾选“电子</w:t>
      </w:r>
      <w:r>
        <w:rPr>
          <w:rFonts w:hint="eastAsia"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firstLineChars="200"/>
        <w:rPr>
          <w:rFonts w:hint="eastAsia" w:ascii="仿宋_GB2312" w:hAnsi="Times New Roman" w:eastAsia="仿宋_GB2312" w:cs="Times New Roman"/>
          <w:spacing w:val="-2"/>
          <w:sz w:val="32"/>
          <w:szCs w:val="32"/>
        </w:rPr>
      </w:pPr>
      <w:r>
        <w:rPr>
          <w:rFonts w:hint="eastAsia" w:ascii="仿宋_GB2312" w:hAnsi="Times New Roman" w:eastAsia="仿宋_GB2312" w:cs="Times New Roman"/>
          <w:spacing w:val="-2"/>
          <w:sz w:val="32"/>
          <w:szCs w:val="32"/>
        </w:rPr>
        <w:t>★★★外商投资企业</w:t>
      </w:r>
      <w:r>
        <w:rPr>
          <w:rFonts w:hint="eastAsia" w:ascii="Times New Roman" w:hAnsi="Times New Roman" w:eastAsia="仿宋_GB2312" w:cs="Times New Roman"/>
          <w:spacing w:val="-2"/>
          <w:sz w:val="32"/>
          <w:szCs w:val="32"/>
        </w:rPr>
        <w:t>还需要填报以下</w:t>
      </w:r>
      <w:r>
        <w:rPr>
          <w:rFonts w:ascii="Times New Roman" w:hAnsi="Times New Roman" w:eastAsia="仿宋_GB2312" w:cs="Times New Roman"/>
          <w:spacing w:val="-2"/>
          <w:sz w:val="32"/>
          <w:szCs w:val="32"/>
        </w:rPr>
        <w:t>信息</w:t>
      </w:r>
      <w:r>
        <w:rPr>
          <w:rFonts w:hint="eastAsia" w:ascii="Times New Roman" w:hAnsi="Times New Roman" w:eastAsia="仿宋_GB2312" w:cs="Times New Roman"/>
          <w:spacing w:val="-2"/>
          <w:sz w:val="32"/>
          <w:szCs w:val="32"/>
        </w:rPr>
        <w:t>项</w:t>
      </w:r>
      <w:r>
        <w:rPr>
          <w:rFonts w:ascii="Times New Roman" w:hAnsi="Times New Roman" w:eastAsia="仿宋_GB2312" w:cs="Times New Roman"/>
          <w:spacing w:val="-2"/>
          <w:sz w:val="32"/>
          <w:szCs w:val="32"/>
        </w:rPr>
        <w:t>。</w:t>
      </w:r>
      <w:r>
        <w:rPr>
          <w:rFonts w:hint="eastAsia" w:ascii="仿宋_GB2312" w:hAnsi="Times New Roman" w:eastAsia="仿宋_GB2312" w:cs="Times New Roman"/>
          <w:spacing w:val="-2"/>
          <w:sz w:val="32"/>
          <w:szCs w:val="32"/>
        </w:rPr>
        <w:t>★★★</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6</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外商投资企业基本情况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填写外资投资企业基本情况信息，然后点击“保存”。</w:t>
      </w:r>
    </w:p>
    <w:p>
      <w:p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pacing w:val="-2"/>
          <w:sz w:val="32"/>
          <w:szCs w:val="32"/>
        </w:rPr>
        <w:t>填写</w:t>
      </w: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、企业属性（上市公司）：根据公司发行股票实际情况填写，上市的证券市场选项可复选。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l、有效发明专利数（</w:t>
      </w:r>
      <w:r>
        <w:rPr>
          <w:rFonts w:hint="eastAsia" w:ascii="Times New Roman" w:hAnsi="Times New Roman" w:eastAsia="仿宋_GB2312" w:cs="Times New Roman"/>
          <w:sz w:val="32"/>
          <w:szCs w:val="32"/>
        </w:rPr>
        <w:t>境外知识产权</w:t>
      </w:r>
      <w:r>
        <w:rPr>
          <w:rFonts w:hint="eastAsia" w:ascii="Times New Roman" w:hAnsi="Times New Roman" w:eastAsia="仿宋_GB2312" w:cs="Times New Roman"/>
          <w:spacing w:val="-2"/>
          <w:sz w:val="32"/>
          <w:szCs w:val="32"/>
        </w:rPr>
        <w:t>行政部门授权）：指截至报</w:t>
      </w:r>
      <w:r>
        <w:rPr>
          <w:rFonts w:hint="eastAsia"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7</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投资者信息</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填写外商投资企业投资者情况，然后点击“保存”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c</w:t>
      </w:r>
      <w:r>
        <w:rPr>
          <w:rFonts w:hint="eastAsia" w:ascii="Times New Roman" w:hAnsi="Times New Roman" w:eastAsia="仿宋_GB2312" w:cs="Times New Roman"/>
          <w:spacing w:val="-2"/>
          <w:sz w:val="32"/>
          <w:szCs w:val="32"/>
        </w:rPr>
        <w:t>、反向投资股权投资额：反向投资，是指本企业拥有的境外投资者的股权。股权投资额是指企业对境外投资者的实际出资额，不包括股东贷款。</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d</w:t>
      </w:r>
      <w:r>
        <w:rPr>
          <w:rFonts w:hint="eastAsia" w:ascii="Times New Roman" w:hAnsi="Times New Roman" w:eastAsia="仿宋_GB2312" w:cs="Times New Roman"/>
          <w:spacing w:val="-2"/>
          <w:sz w:val="32"/>
          <w:szCs w:val="32"/>
        </w:rPr>
        <w:t>、反向投资股权比例：是指本企业拥有的境外投资者的股权投资额在境外投资者所有股权中所占的比例。</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8</w:t>
      </w:r>
      <w:r>
        <w:rPr>
          <w:rFonts w:hint="eastAsia" w:ascii="Times New Roman" w:hAnsi="Times New Roman" w:eastAsia="仿宋_GB2312" w:cs="Times New Roman"/>
          <w:b/>
          <w:bCs/>
          <w:spacing w:val="-2"/>
          <w:sz w:val="32"/>
          <w:szCs w:val="32"/>
        </w:rPr>
        <w:t>、</w:t>
      </w:r>
      <w:r>
        <w:rPr>
          <w:rFonts w:hint="eastAsia" w:ascii="Times New Roman" w:hAnsi="Times New Roman" w:eastAsia="仿宋_GB2312" w:cs="Times New Roman"/>
          <w:spacing w:val="-2"/>
          <w:sz w:val="32"/>
          <w:szCs w:val="32"/>
        </w:rPr>
        <w:t>外商投资经营情况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填写外商投资企业经营情况，然后点击“保存”。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bookmarkStart w:id="0" w:name="_GoBack"/>
      <w:bookmarkEnd w:id="0"/>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1</w:t>
      </w:r>
      <w:r>
        <w:rPr>
          <w:rFonts w:ascii="Times New Roman" w:hAnsi="Times New Roman" w:eastAsia="仿宋_GB2312" w:cs="Times New Roman"/>
          <w:b/>
          <w:bCs/>
          <w:spacing w:val="-2"/>
          <w:sz w:val="32"/>
          <w:szCs w:val="32"/>
        </w:rPr>
        <w:t>9</w:t>
      </w:r>
      <w:r>
        <w:rPr>
          <w:rFonts w:hint="eastAsia" w:ascii="Times New Roman" w:hAnsi="Times New Roman" w:eastAsia="仿宋_GB2312" w:cs="Times New Roman"/>
          <w:spacing w:val="-2"/>
          <w:sz w:val="32"/>
          <w:szCs w:val="32"/>
        </w:rPr>
        <w:t>、债券、债务情况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填写外商投资企业债券、债务情况数据，然后点击“保存”。</w:t>
      </w:r>
    </w:p>
    <w:p>
      <w:pPr>
        <w:spacing w:line="600" w:lineRule="exact"/>
        <w:ind w:firstLine="634"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20</w:t>
      </w:r>
      <w:r>
        <w:rPr>
          <w:rFonts w:hint="eastAsia" w:ascii="Times New Roman" w:hAnsi="Times New Roman" w:eastAsia="仿宋_GB2312" w:cs="Times New Roman"/>
          <w:spacing w:val="-2"/>
          <w:sz w:val="32"/>
          <w:szCs w:val="32"/>
        </w:rPr>
        <w:t>、进口设备减免税情况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填写进口设备减免税的情况，然后点击“保存”。</w:t>
      </w:r>
    </w:p>
    <w:p>
      <w:pPr>
        <w:spacing w:line="600" w:lineRule="exact"/>
        <w:ind w:firstLine="634" w:firstLineChars="200"/>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21</w:t>
      </w:r>
      <w:r>
        <w:rPr>
          <w:rFonts w:hint="eastAsia" w:ascii="Times New Roman" w:hAnsi="Times New Roman" w:eastAsia="仿宋_GB2312" w:cs="Times New Roman"/>
          <w:spacing w:val="-2"/>
          <w:sz w:val="32"/>
          <w:szCs w:val="32"/>
        </w:rPr>
        <w:t>、资产负债情况</w:t>
      </w:r>
    </w:p>
    <w:p>
      <w:pPr>
        <w:spacing w:line="600" w:lineRule="exact"/>
        <w:ind w:firstLine="632" w:firstLineChars="200"/>
        <w:rPr>
          <w:rFonts w:hint="eastAsia"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填写资产负债情况，然后点击“保存”。</w:t>
      </w:r>
    </w:p>
    <w:p>
      <w:pPr>
        <w:spacing w:line="600" w:lineRule="exact"/>
        <w:ind w:firstLine="632" w:firstLineChars="200"/>
        <w:rPr>
          <w:rFonts w:ascii="Times New Roman" w:hAnsi="Times New Roman" w:eastAsia="仿宋_GB2312" w:cs="Times New Roman"/>
          <w:color w:val="0C0C0C"/>
          <w:spacing w:val="-2"/>
          <w:sz w:val="32"/>
          <w:szCs w:val="32"/>
        </w:rPr>
      </w:pPr>
      <w:r>
        <w:rPr>
          <w:rFonts w:hint="eastAsia" w:ascii="仿宋_GB2312" w:hAnsi="Times New Roman" w:eastAsia="仿宋_GB2312" w:cs="Times New Roman"/>
          <w:color w:val="0C0C0C"/>
          <w:spacing w:val="-2"/>
          <w:sz w:val="32"/>
          <w:szCs w:val="32"/>
        </w:rPr>
        <w:t>★★★</w:t>
      </w:r>
      <w:r>
        <w:rPr>
          <w:rFonts w:hint="eastAsia" w:ascii="仿宋_GB2312" w:hAnsi="Times New Roman" w:eastAsia="仿宋_GB2312" w:cs="Times New Roman"/>
          <w:color w:val="0C0C0C"/>
          <w:spacing w:val="-2"/>
          <w:sz w:val="32"/>
          <w:szCs w:val="32"/>
          <w:lang w:val="en-US" w:eastAsia="zh-CN"/>
        </w:rPr>
        <w:t>大型</w:t>
      </w:r>
      <w:r>
        <w:rPr>
          <w:rFonts w:hint="eastAsia" w:ascii="仿宋_GB2312" w:hAnsi="Times New Roman" w:eastAsia="仿宋_GB2312" w:cs="Times New Roman"/>
          <w:color w:val="0C0C0C"/>
          <w:spacing w:val="-2"/>
          <w:sz w:val="32"/>
          <w:szCs w:val="32"/>
        </w:rPr>
        <w:t>企业</w:t>
      </w:r>
      <w:r>
        <w:rPr>
          <w:rFonts w:hint="eastAsia" w:ascii="Times New Roman" w:hAnsi="Times New Roman" w:eastAsia="仿宋_GB2312" w:cs="Times New Roman"/>
          <w:color w:val="0C0C0C"/>
          <w:spacing w:val="-2"/>
          <w:sz w:val="32"/>
          <w:szCs w:val="32"/>
        </w:rPr>
        <w:t>还需要填报以下</w:t>
      </w:r>
      <w:r>
        <w:rPr>
          <w:rFonts w:ascii="Times New Roman" w:hAnsi="Times New Roman" w:eastAsia="仿宋_GB2312" w:cs="Times New Roman"/>
          <w:color w:val="0C0C0C"/>
          <w:spacing w:val="-2"/>
          <w:sz w:val="32"/>
          <w:szCs w:val="32"/>
        </w:rPr>
        <w:t>信息</w:t>
      </w:r>
      <w:r>
        <w:rPr>
          <w:rFonts w:hint="eastAsia" w:ascii="Times New Roman" w:hAnsi="Times New Roman" w:eastAsia="仿宋_GB2312" w:cs="Times New Roman"/>
          <w:color w:val="0C0C0C"/>
          <w:spacing w:val="-2"/>
          <w:sz w:val="32"/>
          <w:szCs w:val="32"/>
        </w:rPr>
        <w:t>项</w:t>
      </w:r>
      <w:r>
        <w:rPr>
          <w:rFonts w:ascii="Times New Roman" w:hAnsi="Times New Roman" w:eastAsia="仿宋_GB2312" w:cs="Times New Roman"/>
          <w:color w:val="0C0C0C"/>
          <w:spacing w:val="-2"/>
          <w:sz w:val="32"/>
          <w:szCs w:val="32"/>
        </w:rPr>
        <w:t>。</w:t>
      </w:r>
      <w:r>
        <w:rPr>
          <w:rFonts w:hint="eastAsia" w:ascii="仿宋_GB2312" w:hAnsi="Times New Roman" w:eastAsia="仿宋_GB2312" w:cs="Times New Roman"/>
          <w:color w:val="0C0C0C"/>
          <w:spacing w:val="-2"/>
          <w:sz w:val="32"/>
          <w:szCs w:val="32"/>
        </w:rPr>
        <w:t>★★★</w:t>
      </w:r>
    </w:p>
    <w:p>
      <w:pPr>
        <w:pStyle w:val="9"/>
        <w:rPr>
          <w:color w:val="0C0C0C"/>
        </w:rPr>
      </w:pPr>
      <w:r>
        <w:rPr>
          <w:rFonts w:ascii="Times New Roman" w:hAnsi="Times New Roman" w:eastAsia="仿宋_GB2312" w:cs="Times New Roman"/>
          <w:color w:val="0C0C0C"/>
          <w:spacing w:val="-2"/>
          <w:sz w:val="32"/>
          <w:szCs w:val="32"/>
        </w:rPr>
        <w:t>2</w:t>
      </w:r>
      <w:r>
        <w:rPr>
          <w:rFonts w:hint="eastAsia" w:ascii="Times New Roman" w:hAnsi="Times New Roman" w:eastAsia="仿宋_GB2312" w:cs="Times New Roman"/>
          <w:color w:val="0C0C0C"/>
          <w:spacing w:val="-2"/>
          <w:sz w:val="32"/>
          <w:szCs w:val="32"/>
          <w:lang w:val="en-US" w:eastAsia="zh-CN"/>
        </w:rPr>
        <w:t>2</w:t>
      </w:r>
      <w:r>
        <w:rPr>
          <w:rFonts w:hint="eastAsia" w:ascii="Times New Roman" w:hAnsi="Times New Roman" w:eastAsia="仿宋_GB2312" w:cs="Times New Roman"/>
          <w:color w:val="0C0C0C"/>
          <w:spacing w:val="-2"/>
          <w:sz w:val="32"/>
          <w:szCs w:val="32"/>
        </w:rPr>
        <w:t>、</w:t>
      </w:r>
      <w:r>
        <w:rPr>
          <w:color w:val="0C0C0C"/>
        </w:rPr>
        <w:t>窗体顶端</w:t>
      </w:r>
    </w:p>
    <w:p>
      <w:pPr>
        <w:spacing w:line="600" w:lineRule="exact"/>
        <w:ind w:firstLine="634" w:firstLineChars="200"/>
        <w:rPr>
          <w:rFonts w:hint="eastAsia" w:ascii="Times New Roman" w:hAnsi="Times New Roman" w:eastAsia="仿宋_GB2312" w:cs="Times New Roman"/>
          <w:color w:val="0C0C0C"/>
          <w:spacing w:val="-2"/>
          <w:sz w:val="32"/>
          <w:szCs w:val="32"/>
          <w:lang w:val="en-US" w:eastAsia="zh-CN"/>
        </w:rPr>
      </w:pPr>
      <w:r>
        <w:rPr>
          <w:rFonts w:hint="eastAsia" w:ascii="Times New Roman" w:hAnsi="Times New Roman" w:eastAsia="仿宋_GB2312" w:cs="Times New Roman"/>
          <w:b/>
          <w:bCs/>
          <w:color w:val="0C0C0C"/>
          <w:spacing w:val="-2"/>
          <w:sz w:val="32"/>
          <w:szCs w:val="32"/>
          <w:lang w:val="en-US" w:eastAsia="zh-CN"/>
        </w:rPr>
        <w:t>22</w:t>
      </w:r>
      <w:r>
        <w:rPr>
          <w:rFonts w:hint="eastAsia" w:ascii="Times New Roman" w:hAnsi="Times New Roman" w:eastAsia="仿宋_GB2312" w:cs="Times New Roman"/>
          <w:color w:val="0C0C0C"/>
          <w:spacing w:val="-2"/>
          <w:sz w:val="32"/>
          <w:szCs w:val="32"/>
          <w:lang w:val="en-US" w:eastAsia="zh-CN"/>
        </w:rPr>
        <w:t xml:space="preserve">、逾期尚未支付合同情况 </w:t>
      </w:r>
    </w:p>
    <w:p>
      <w:pPr>
        <w:spacing w:line="600" w:lineRule="exact"/>
        <w:ind w:firstLine="632" w:firstLineChars="200"/>
        <w:rPr>
          <w:rFonts w:hint="eastAsia" w:ascii="Times New Roman" w:hAnsi="Times New Roman" w:eastAsia="仿宋_GB2312" w:cs="Times New Roman"/>
          <w:color w:val="0C0C0C"/>
          <w:spacing w:val="-2"/>
          <w:sz w:val="32"/>
          <w:szCs w:val="32"/>
        </w:rPr>
      </w:pPr>
      <w:r>
        <w:rPr>
          <w:rFonts w:hint="eastAsia" w:ascii="Times New Roman" w:hAnsi="Times New Roman" w:eastAsia="仿宋_GB2312" w:cs="Times New Roman"/>
          <w:color w:val="0C0C0C"/>
          <w:spacing w:val="-2"/>
          <w:sz w:val="32"/>
          <w:szCs w:val="32"/>
        </w:rPr>
        <w:t>填写</w:t>
      </w:r>
      <w:r>
        <w:rPr>
          <w:rFonts w:hint="eastAsia" w:ascii="Times New Roman" w:hAnsi="Times New Roman" w:eastAsia="仿宋_GB2312" w:cs="Times New Roman"/>
          <w:color w:val="0C0C0C"/>
          <w:spacing w:val="-2"/>
          <w:sz w:val="32"/>
          <w:szCs w:val="32"/>
          <w:lang w:val="en-US" w:eastAsia="zh-CN"/>
        </w:rPr>
        <w:t>逾期尚未支付合同情况，</w:t>
      </w:r>
      <w:r>
        <w:rPr>
          <w:rFonts w:hint="eastAsia" w:ascii="Times New Roman" w:hAnsi="Times New Roman" w:eastAsia="仿宋_GB2312" w:cs="Times New Roman"/>
          <w:color w:val="0C0C0C"/>
          <w:spacing w:val="-2"/>
          <w:sz w:val="32"/>
          <w:szCs w:val="32"/>
        </w:rPr>
        <w:t>然后点击“保存”。</w:t>
      </w:r>
    </w:p>
    <w:p>
      <w:pPr>
        <w:spacing w:line="600" w:lineRule="exact"/>
        <w:ind w:firstLine="632" w:firstLineChars="200"/>
        <w:rPr>
          <w:rFonts w:hint="eastAsia" w:ascii="Times New Roman" w:hAnsi="Times New Roman" w:eastAsia="仿宋_GB2312" w:cs="Times New Roman"/>
          <w:color w:val="0C0C0C"/>
          <w:spacing w:val="-2"/>
          <w:sz w:val="32"/>
          <w:szCs w:val="32"/>
          <w:lang w:val="en-US" w:eastAsia="zh-CN"/>
        </w:rPr>
      </w:pPr>
      <w:r>
        <w:rPr>
          <w:rFonts w:hint="eastAsia" w:ascii="Times New Roman" w:hAnsi="Times New Roman" w:eastAsia="仿宋_GB2312" w:cs="Times New Roman"/>
          <w:color w:val="0C0C0C"/>
          <w:spacing w:val="-2"/>
          <w:sz w:val="32"/>
          <w:szCs w:val="32"/>
          <w:lang w:val="en-US" w:eastAsia="zh-CN"/>
        </w:rPr>
        <w:t>填写说明：</w:t>
      </w:r>
    </w:p>
    <w:p>
      <w:pPr>
        <w:spacing w:line="600" w:lineRule="exact"/>
        <w:ind w:firstLine="632" w:firstLineChars="200"/>
        <w:rPr>
          <w:rFonts w:hint="eastAsia" w:ascii="Times New Roman" w:hAnsi="Times New Roman" w:eastAsia="仿宋_GB2312" w:cs="Times New Roman"/>
          <w:color w:val="0C0C0C"/>
          <w:spacing w:val="-2"/>
          <w:sz w:val="32"/>
          <w:szCs w:val="32"/>
          <w:lang w:val="en-US" w:eastAsia="zh-CN"/>
        </w:rPr>
      </w:pPr>
      <w:r>
        <w:rPr>
          <w:rFonts w:hint="eastAsia" w:ascii="Times New Roman" w:hAnsi="Times New Roman" w:eastAsia="仿宋_GB2312" w:cs="Times New Roman"/>
          <w:color w:val="0C0C0C"/>
          <w:spacing w:val="-2"/>
          <w:sz w:val="32"/>
          <w:szCs w:val="32"/>
          <w:lang w:val="en-US" w:eastAsia="zh-CN"/>
        </w:rPr>
        <w:t>a.是否存在《保障中小企业款项支付条例》（国务院令第728号）规定的逾期尚未支付中小企业款项的情形：</w:t>
      </w:r>
    </w:p>
    <w:p>
      <w:pPr>
        <w:spacing w:line="600" w:lineRule="exact"/>
        <w:ind w:firstLine="632" w:firstLineChars="200"/>
        <w:rPr>
          <w:rFonts w:hint="eastAsia" w:ascii="Times New Roman" w:hAnsi="Times New Roman" w:eastAsia="仿宋_GB2312" w:cs="Times New Roman"/>
          <w:color w:val="0C0C0C"/>
          <w:spacing w:val="-2"/>
          <w:sz w:val="32"/>
          <w:szCs w:val="32"/>
          <w:lang w:val="en-US" w:eastAsia="zh-CN"/>
        </w:rPr>
      </w:pPr>
      <w:r>
        <w:rPr>
          <w:rFonts w:hint="eastAsia" w:ascii="Times New Roman" w:hAnsi="Times New Roman" w:eastAsia="仿宋_GB2312" w:cs="Times New Roman"/>
          <w:color w:val="0C0C0C"/>
          <w:spacing w:val="-2"/>
          <w:sz w:val="32"/>
          <w:szCs w:val="32"/>
          <w:lang w:val="en-US" w:eastAsia="zh-CN"/>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hint="eastAsia" w:ascii="Times New Roman" w:hAnsi="Times New Roman" w:eastAsia="仿宋_GB2312" w:cs="Times New Roman"/>
          <w:color w:val="0C0C0C"/>
          <w:spacing w:val="-2"/>
          <w:sz w:val="32"/>
          <w:szCs w:val="32"/>
          <w:lang w:val="en-US" w:eastAsia="zh-CN"/>
        </w:rPr>
      </w:pPr>
      <w:r>
        <w:rPr>
          <w:rFonts w:hint="eastAsia" w:ascii="Times New Roman" w:hAnsi="Times New Roman" w:eastAsia="仿宋_GB2312" w:cs="Times New Roman"/>
          <w:color w:val="0C0C0C"/>
          <w:spacing w:val="-2"/>
          <w:sz w:val="32"/>
          <w:szCs w:val="32"/>
          <w:lang w:val="en-US" w:eastAsia="zh-CN"/>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hint="eastAsia" w:ascii="Times New Roman" w:hAnsi="Times New Roman" w:eastAsia="仿宋_GB2312" w:cs="Times New Roman"/>
          <w:color w:val="0C0C0C"/>
          <w:spacing w:val="-2"/>
          <w:sz w:val="32"/>
          <w:szCs w:val="32"/>
          <w:lang w:val="en-US" w:eastAsia="zh-CN"/>
        </w:rPr>
      </w:pPr>
      <w:r>
        <w:rPr>
          <w:rFonts w:hint="eastAsia" w:ascii="Times New Roman" w:hAnsi="Times New Roman" w:eastAsia="仿宋_GB2312" w:cs="Times New Roman"/>
          <w:color w:val="0C0C0C"/>
          <w:spacing w:val="-2"/>
          <w:sz w:val="32"/>
          <w:szCs w:val="32"/>
          <w:lang w:val="en-US" w:eastAsia="zh-CN"/>
        </w:rPr>
        <w:t>拖延检验或者验收的，付款期限自约定的检验或者验收期限届满之日起算，逾期尚未支付款项的。</w:t>
      </w:r>
    </w:p>
    <w:p>
      <w:pPr>
        <w:spacing w:line="600" w:lineRule="exact"/>
        <w:ind w:firstLine="632" w:firstLineChars="200"/>
        <w:rPr>
          <w:rFonts w:hint="eastAsia" w:ascii="Times New Roman" w:hAnsi="Times New Roman" w:eastAsia="仿宋_GB2312" w:cs="Times New Roman"/>
          <w:color w:val="0C0C0C"/>
          <w:spacing w:val="-2"/>
          <w:sz w:val="32"/>
          <w:szCs w:val="32"/>
          <w:lang w:val="en-US" w:eastAsia="zh-CN"/>
        </w:rPr>
      </w:pPr>
      <w:r>
        <w:rPr>
          <w:rFonts w:hint="eastAsia" w:ascii="Times New Roman" w:hAnsi="Times New Roman" w:eastAsia="仿宋_GB2312" w:cs="Times New Roman"/>
          <w:color w:val="0C0C0C"/>
          <w:spacing w:val="-2"/>
          <w:sz w:val="32"/>
          <w:szCs w:val="32"/>
          <w:lang w:val="en-US" w:eastAsia="zh-CN"/>
        </w:rPr>
        <w:t>③强制中小企业接受商业汇票等非现金支付方式，利用商业汇票等非现金支付方式变相延长付款期限的。</w:t>
      </w:r>
    </w:p>
    <w:p>
      <w:pPr>
        <w:spacing w:line="600" w:lineRule="exact"/>
        <w:ind w:firstLine="632" w:firstLineChars="200"/>
        <w:rPr>
          <w:rFonts w:hint="eastAsia" w:ascii="Times New Roman" w:hAnsi="Times New Roman" w:eastAsia="仿宋_GB2312" w:cs="Times New Roman"/>
          <w:color w:val="0C0C0C"/>
          <w:spacing w:val="-2"/>
          <w:sz w:val="32"/>
          <w:szCs w:val="32"/>
          <w:lang w:val="en-US" w:eastAsia="zh-CN"/>
        </w:rPr>
      </w:pPr>
      <w:r>
        <w:rPr>
          <w:rFonts w:hint="eastAsia" w:ascii="Times New Roman" w:hAnsi="Times New Roman" w:eastAsia="仿宋_GB2312" w:cs="Times New Roman"/>
          <w:color w:val="0C0C0C"/>
          <w:spacing w:val="-2"/>
          <w:sz w:val="32"/>
          <w:szCs w:val="32"/>
          <w:lang w:val="en-US" w:eastAsia="zh-CN"/>
        </w:rPr>
        <w:t>④强制要求以审计机关的审计结果作为结算依据，逾期尚未支付款项的，但合同另有约定或者法律、行政法规另有规定的除外。</w:t>
      </w:r>
    </w:p>
    <w:p>
      <w:pPr>
        <w:spacing w:line="600" w:lineRule="exact"/>
        <w:ind w:firstLine="632" w:firstLineChars="200"/>
        <w:rPr>
          <w:rFonts w:hint="eastAsia" w:ascii="Times New Roman" w:hAnsi="Times New Roman" w:eastAsia="仿宋_GB2312" w:cs="Times New Roman"/>
          <w:color w:val="0C0C0C"/>
          <w:spacing w:val="-2"/>
          <w:sz w:val="32"/>
          <w:szCs w:val="32"/>
          <w:lang w:val="en-US" w:eastAsia="zh-CN"/>
        </w:rPr>
      </w:pPr>
      <w:r>
        <w:rPr>
          <w:rFonts w:hint="eastAsia" w:ascii="Times New Roman" w:hAnsi="Times New Roman" w:eastAsia="仿宋_GB2312" w:cs="Times New Roman"/>
          <w:color w:val="0C0C0C"/>
          <w:spacing w:val="-2"/>
          <w:sz w:val="32"/>
          <w:szCs w:val="32"/>
          <w:lang w:val="en-US" w:eastAsia="zh-CN"/>
        </w:rPr>
        <w:t>⑤</w:t>
      </w:r>
      <w:r>
        <w:rPr>
          <w:rFonts w:hint="eastAsia" w:ascii="仿宋_GB2312" w:hAnsi="仿宋_GB2312" w:eastAsia="仿宋_GB2312" w:cs="仿宋_GB2312"/>
          <w:i w:val="0"/>
          <w:caps w:val="0"/>
          <w:color w:val="0C0C0C"/>
          <w:spacing w:val="0"/>
          <w:sz w:val="32"/>
          <w:szCs w:val="32"/>
          <w:shd w:val="clear" w:color="070000" w:fill="FFFFFF"/>
          <w:lang w:eastAsia="zh-CN"/>
        </w:rPr>
        <w:t>不按照合同约定，在保证期限届满后及时与中小企业对收取的保证金进行核实和结算的。</w:t>
      </w:r>
    </w:p>
    <w:p>
      <w:pPr>
        <w:spacing w:line="600" w:lineRule="exact"/>
        <w:ind w:firstLine="632" w:firstLineChars="200"/>
        <w:rPr>
          <w:rFonts w:hint="eastAsia" w:ascii="Times New Roman" w:hAnsi="Times New Roman" w:eastAsia="仿宋_GB2312" w:cs="Times New Roman"/>
          <w:color w:val="0C0C0C"/>
          <w:spacing w:val="-2"/>
          <w:sz w:val="32"/>
          <w:szCs w:val="32"/>
          <w:lang w:val="en-US" w:eastAsia="zh-CN"/>
        </w:rPr>
      </w:pPr>
      <w:r>
        <w:rPr>
          <w:rFonts w:hint="eastAsia" w:ascii="Times New Roman" w:hAnsi="Times New Roman" w:eastAsia="仿宋_GB2312" w:cs="Times New Roman"/>
          <w:color w:val="0C0C0C"/>
          <w:spacing w:val="-2"/>
          <w:sz w:val="32"/>
          <w:szCs w:val="32"/>
          <w:lang w:val="en-US" w:eastAsia="zh-CN"/>
        </w:rPr>
        <w:t>b.逾期尚未支付中小企业款项的合同数量：存在以上情形的合同数量。</w:t>
      </w:r>
    </w:p>
    <w:p>
      <w:pPr>
        <w:spacing w:line="600" w:lineRule="exact"/>
        <w:ind w:firstLine="632" w:firstLineChars="200"/>
        <w:rPr>
          <w:rFonts w:hint="eastAsia" w:ascii="Times New Roman" w:hAnsi="Times New Roman" w:eastAsia="仿宋_GB2312" w:cs="Times New Roman"/>
          <w:color w:val="0C0C0C"/>
          <w:spacing w:val="-2"/>
          <w:sz w:val="32"/>
          <w:szCs w:val="32"/>
        </w:rPr>
      </w:pPr>
      <w:r>
        <w:rPr>
          <w:rFonts w:hint="eastAsia" w:ascii="Times New Roman" w:hAnsi="Times New Roman" w:eastAsia="仿宋_GB2312" w:cs="Times New Roman"/>
          <w:color w:val="0C0C0C"/>
          <w:spacing w:val="-2"/>
          <w:sz w:val="32"/>
          <w:szCs w:val="32"/>
          <w:lang w:val="en-US" w:eastAsia="zh-CN"/>
        </w:rPr>
        <w:t>c.逾期尚未支付中小企业款项的合同金额：存在以上情形的合同金额。</w:t>
      </w:r>
    </w:p>
    <w:p>
      <w:pPr>
        <w:spacing w:line="600" w:lineRule="exact"/>
        <w:ind w:firstLine="642"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第六步：</w:t>
      </w:r>
      <w:r>
        <w:rPr>
          <w:rFonts w:hint="eastAsia" w:ascii="楷体_GB2312" w:hAnsi="黑体" w:eastAsia="楷体_GB2312" w:cs="Times New Roman"/>
          <w:sz w:val="32"/>
          <w:szCs w:val="32"/>
        </w:rPr>
        <w:t>预览并公示。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“预览并公示”页面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检查填报内容是否无误。</w:t>
      </w:r>
    </w:p>
    <w:p>
      <w:pPr>
        <w:spacing w:line="600" w:lineRule="exact"/>
        <w:ind w:firstLine="642" w:firstLineChars="200"/>
        <w:rPr>
          <w:rFonts w:ascii="楷体_GB2312" w:hAnsi="Times New Roman" w:eastAsia="楷体_GB2312" w:cs="Times New Roman"/>
          <w:sz w:val="32"/>
          <w:szCs w:val="32"/>
        </w:rPr>
      </w:pPr>
      <w:r>
        <w:rPr>
          <w:rFonts w:hint="eastAsia" w:ascii="楷体_GB2312" w:hAnsi="黑体" w:eastAsia="楷体_GB2312" w:cs="Times New Roman"/>
          <w:b/>
          <w:sz w:val="32"/>
          <w:szCs w:val="32"/>
        </w:rPr>
        <w:t>第七步：</w:t>
      </w:r>
      <w:r>
        <w:rPr>
          <w:rFonts w:hint="eastAsia" w:ascii="楷体_GB2312" w:hAnsi="黑体" w:eastAsia="楷体_GB2312" w:cs="Times New Roman"/>
          <w:sz w:val="32"/>
          <w:szCs w:val="32"/>
        </w:rPr>
        <w:t>提交并公示。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审核无误后点击“提交并公示”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确定</w:t>
      </w:r>
      <w:r>
        <w:rPr>
          <w:rFonts w:ascii="Times New Roman" w:hAnsi="Times New Roman" w:eastAsia="仿宋_GB2312" w:cs="Times New Roman"/>
          <w:sz w:val="32"/>
          <w:szCs w:val="32"/>
        </w:rPr>
        <w:t>”，完成本年度年报公示</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未点击“提交并公示”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则所填写信息仅保存成功，未进行公示，年报未完成。</w:t>
      </w:r>
      <w:r>
        <w:rPr>
          <w:rFonts w:hint="eastAsia" w:ascii="Times New Roman" w:hAnsi="Times New Roman" w:eastAsia="仿宋_GB2312" w:cs="Times New Roman"/>
          <w:sz w:val="32"/>
          <w:szCs w:val="32"/>
        </w:rPr>
        <w:t>报送</w:t>
      </w:r>
      <w:r>
        <w:rPr>
          <w:rFonts w:ascii="Times New Roman" w:hAnsi="Times New Roman" w:eastAsia="仿宋_GB2312" w:cs="Times New Roman"/>
          <w:sz w:val="32"/>
          <w:szCs w:val="32"/>
        </w:rPr>
        <w:t>成功后</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自动显示记录。</w:t>
      </w:r>
    </w:p>
    <w:p>
      <w:pPr>
        <w:spacing w:line="600" w:lineRule="exact"/>
        <w:ind w:firstLine="642"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第八步：</w:t>
      </w:r>
      <w:r>
        <w:rPr>
          <w:rFonts w:hint="eastAsia" w:ascii="楷体_GB2312" w:hAnsi="黑体" w:eastAsia="楷体_GB2312" w:cs="Times New Roman"/>
          <w:sz w:val="32"/>
          <w:szCs w:val="32"/>
        </w:rPr>
        <w:t>结果查询。</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因数据传输原因，请在上述步骤完成24小时之后登录</w:t>
      </w:r>
      <w:r>
        <w:rPr>
          <w:rFonts w:ascii="Times New Roman" w:hAnsi="Times New Roman" w:eastAsia="仿宋_GB2312" w:cs="Times New Roman"/>
          <w:spacing w:val="-4"/>
          <w:sz w:val="32"/>
          <w:szCs w:val="32"/>
        </w:rPr>
        <w:t>国家企业信用信息公示系统（湖南）</w:t>
      </w:r>
      <w:r>
        <w:rPr>
          <w:rFonts w:hint="eastAsia" w:ascii="Times New Roman" w:hAnsi="Times New Roman" w:eastAsia="仿宋_GB2312" w:cs="Times New Roman"/>
          <w:spacing w:val="-4"/>
          <w:sz w:val="32"/>
          <w:szCs w:val="32"/>
        </w:rPr>
        <w:t>查询结果。在</w:t>
      </w:r>
      <w:r>
        <w:rPr>
          <w:rFonts w:ascii="Times New Roman" w:hAnsi="Times New Roman" w:eastAsia="仿宋_GB2312" w:cs="Times New Roman"/>
          <w:sz w:val="32"/>
          <w:szCs w:val="32"/>
        </w:rPr>
        <w:t>首页查询框内输入企业名称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注册号，点击查询结果所列出的企业名称，进入信用信息页面，在“企业年报”信息中可查询已报送信息，如无信息，则未完成年报。</w:t>
      </w:r>
    </w:p>
    <w:p>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w:t>
      </w:r>
      <w:r>
        <w:rPr>
          <w:rFonts w:hint="eastAsia" w:ascii="黑体" w:hAnsi="黑体" w:eastAsia="黑体" w:cs="Times New Roman"/>
          <w:sz w:val="32"/>
          <w:szCs w:val="32"/>
        </w:rPr>
        <w:t>注意事项</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1、报送</w:t>
      </w:r>
      <w:r>
        <w:rPr>
          <w:rFonts w:ascii="Times New Roman" w:hAnsi="Times New Roman" w:eastAsia="仿宋_GB2312" w:cs="Times New Roman"/>
          <w:sz w:val="32"/>
          <w:szCs w:val="32"/>
        </w:rPr>
        <w:t>年报的企业、个体工商户</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农民专业合作社应对其报送的年报内容的真实性、及时性负责。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发现其</w:t>
      </w:r>
      <w:r>
        <w:rPr>
          <w:rFonts w:ascii="Times New Roman" w:hAnsi="Times New Roman" w:eastAsia="仿宋_GB2312" w:cs="Times New Roman"/>
          <w:sz w:val="32"/>
          <w:szCs w:val="32"/>
        </w:rPr>
        <w:t>年报</w:t>
      </w:r>
      <w:r>
        <w:rPr>
          <w:rFonts w:hint="eastAsia" w:ascii="Times New Roman" w:hAnsi="Times New Roman" w:eastAsia="仿宋_GB2312" w:cs="Times New Roman"/>
          <w:sz w:val="32"/>
          <w:szCs w:val="32"/>
        </w:rPr>
        <w:t>内容</w:t>
      </w:r>
      <w:r>
        <w:rPr>
          <w:rFonts w:ascii="Times New Roman" w:hAnsi="Times New Roman" w:eastAsia="仿宋_GB2312" w:cs="Times New Roman"/>
          <w:sz w:val="32"/>
          <w:szCs w:val="32"/>
        </w:rPr>
        <w:t>不准确的，</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于</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年6月30日</w:t>
      </w:r>
      <w:r>
        <w:rPr>
          <w:rFonts w:ascii="Times New Roman" w:hAnsi="Times New Roman" w:eastAsia="仿宋_GB2312" w:cs="Times New Roman"/>
          <w:sz w:val="32"/>
          <w:szCs w:val="32"/>
        </w:rPr>
        <w:t>前进入“</w:t>
      </w:r>
      <w:r>
        <w:rPr>
          <w:rFonts w:hint="eastAsia" w:ascii="Times New Roman" w:hAnsi="Times New Roman" w:eastAsia="仿宋_GB2312" w:cs="Times New Roman"/>
          <w:sz w:val="32"/>
          <w:szCs w:val="32"/>
        </w:rPr>
        <w:t>编辑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进行更正（</w:t>
      </w:r>
      <w:r>
        <w:rPr>
          <w:rFonts w:hint="eastAsia" w:ascii="Times New Roman" w:hAnsi="Times New Roman" w:eastAsia="仿宋_GB2312" w:cs="Times New Roman"/>
          <w:sz w:val="32"/>
          <w:szCs w:val="32"/>
        </w:rPr>
        <w:t>6月30日</w:t>
      </w:r>
      <w:r>
        <w:rPr>
          <w:rFonts w:ascii="Times New Roman" w:hAnsi="Times New Roman" w:eastAsia="仿宋_GB2312" w:cs="Times New Roman"/>
          <w:sz w:val="32"/>
          <w:szCs w:val="32"/>
        </w:rPr>
        <w:t>后更正功能关闭）</w:t>
      </w:r>
      <w:r>
        <w:rPr>
          <w:rFonts w:hint="eastAsia" w:ascii="Times New Roman" w:hAnsi="Times New Roman" w:eastAsia="仿宋_GB2312" w:cs="Times New Roman"/>
          <w:sz w:val="32"/>
          <w:szCs w:val="32"/>
        </w:rPr>
        <w:t>。</w:t>
      </w:r>
    </w:p>
    <w:p>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、问题咨询</w:t>
      </w:r>
    </w:p>
    <w:p>
      <w:pPr>
        <w:spacing w:line="600" w:lineRule="exact"/>
        <w:ind w:firstLine="645"/>
        <w:rPr>
          <w:rFonts w:ascii="仿宋_GB2312" w:hAnsi="黑体" w:eastAsia="仿宋_GB2312" w:cs="Times New Roman"/>
          <w:sz w:val="32"/>
          <w:szCs w:val="32"/>
        </w:rPr>
      </w:pPr>
      <w:r>
        <w:rPr>
          <w:rFonts w:ascii="仿宋_GB2312" w:hAnsi="黑体" w:eastAsia="仿宋_GB2312" w:cs="Times New Roman"/>
          <w:sz w:val="32"/>
          <w:szCs w:val="32"/>
        </w:rPr>
        <w:t>企业在</w:t>
      </w:r>
      <w:r>
        <w:rPr>
          <w:rFonts w:hint="eastAsia" w:ascii="仿宋_GB2312" w:hAnsi="黑体" w:eastAsia="仿宋_GB2312" w:cs="Times New Roman"/>
          <w:sz w:val="32"/>
          <w:szCs w:val="32"/>
        </w:rPr>
        <w:t>填报年报</w:t>
      </w:r>
      <w:r>
        <w:rPr>
          <w:rFonts w:ascii="仿宋_GB2312" w:hAnsi="黑体" w:eastAsia="仿宋_GB2312" w:cs="Times New Roman"/>
          <w:sz w:val="32"/>
          <w:szCs w:val="32"/>
        </w:rPr>
        <w:t>时如遇问题</w:t>
      </w:r>
      <w:r>
        <w:rPr>
          <w:rFonts w:hint="eastAsia" w:ascii="仿宋_GB2312" w:hAnsi="黑体" w:eastAsia="仿宋_GB2312" w:cs="Times New Roman"/>
          <w:sz w:val="32"/>
          <w:szCs w:val="32"/>
        </w:rPr>
        <w:t>，请拨打所属</w:t>
      </w:r>
      <w:r>
        <w:rPr>
          <w:rFonts w:ascii="仿宋_GB2312" w:hAnsi="黑体" w:eastAsia="仿宋_GB2312" w:cs="Times New Roman"/>
          <w:sz w:val="32"/>
          <w:szCs w:val="32"/>
        </w:rPr>
        <w:t>登记</w:t>
      </w:r>
      <w:r>
        <w:rPr>
          <w:rFonts w:hint="eastAsia" w:ascii="仿宋_GB2312" w:hAnsi="黑体" w:eastAsia="仿宋_GB2312" w:cs="Times New Roman"/>
          <w:sz w:val="32"/>
          <w:szCs w:val="32"/>
        </w:rPr>
        <w:t>机关电话进行咨询。</w:t>
      </w:r>
    </w:p>
    <w:p>
      <w:pPr>
        <w:spacing w:line="600" w:lineRule="exact"/>
        <w:ind w:firstLine="645"/>
        <w:rPr>
          <w:rFonts w:ascii="Times New Roman" w:hAnsi="Times New Roman" w:eastAsia="仿宋_GB2312" w:cs="Times New Roman"/>
          <w:sz w:val="32"/>
          <w:szCs w:val="32"/>
          <w:lang w:val="en-US"/>
        </w:rPr>
      </w:pPr>
      <w:r>
        <w:rPr>
          <w:rFonts w:hint="eastAsia" w:ascii="Times New Roman" w:hAnsi="Times New Roman" w:eastAsia="仿宋_GB2312" w:cs="Times New Roman"/>
          <w:color w:val="000000"/>
          <w:sz w:val="32"/>
          <w:szCs w:val="32"/>
          <w:lang w:val="en-US" w:eastAsia="zh-CN"/>
        </w:rPr>
        <w:t>道县</w:t>
      </w:r>
      <w:r>
        <w:rPr>
          <w:rFonts w:hint="eastAsia" w:ascii="Times New Roman" w:hAnsi="Times New Roman" w:eastAsia="仿宋_GB2312" w:cs="Times New Roman"/>
          <w:color w:val="000000"/>
          <w:sz w:val="32"/>
          <w:szCs w:val="32"/>
        </w:rPr>
        <w:t>市场监管局</w:t>
      </w:r>
      <w:r>
        <w:rPr>
          <w:rFonts w:hint="eastAsia" w:ascii="Times New Roman" w:hAnsi="Times New Roman" w:eastAsia="仿宋_GB2312" w:cs="Times New Roman"/>
          <w:color w:val="000000"/>
          <w:sz w:val="32"/>
          <w:szCs w:val="32"/>
          <w:lang w:val="en-US" w:eastAsia="zh-CN"/>
        </w:rPr>
        <w:t>信用监管股</w:t>
      </w:r>
      <w:r>
        <w:rPr>
          <w:rFonts w:hint="eastAsia" w:ascii="Times New Roman" w:hAnsi="Times New Roman" w:eastAsia="仿宋_GB2312" w:cs="Times New Roman"/>
          <w:color w:val="000000"/>
          <w:sz w:val="32"/>
          <w:szCs w:val="32"/>
        </w:rPr>
        <w:t>：0746</w:t>
      </w:r>
      <w:r>
        <w:rPr>
          <w:rFonts w:hint="eastAsia" w:ascii="Times New Roman" w:hAnsi="Times New Roman" w:eastAsia="仿宋_GB2312" w:cs="Times New Roman"/>
          <w:color w:val="000000"/>
          <w:sz w:val="32"/>
          <w:szCs w:val="32"/>
          <w:lang w:val="en-US" w:eastAsia="zh-CN"/>
        </w:rPr>
        <w:t>-5217578</w:t>
      </w:r>
    </w:p>
    <w:sectPr>
      <w:pgSz w:w="11906" w:h="16838"/>
      <w:pgMar w:top="1440" w:right="1274" w:bottom="1276"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altName w:val="宋体"/>
    <w:panose1 w:val="02000000000000000000"/>
    <w:charset w:val="86"/>
    <w:family w:val="auto"/>
    <w:pitch w:val="default"/>
    <w:sig w:usb0="00000001" w:usb1="08000000" w:usb2="00000000" w:usb3="00000000" w:csb0="00040000" w:csb1="00000000"/>
  </w:font>
  <w:font w:name="方正黑体_GBK">
    <w:altName w:val="黑体"/>
    <w:panose1 w:val="02000000000000000000"/>
    <w:charset w:val="86"/>
    <w:family w:val="auto"/>
    <w:pitch w:val="default"/>
    <w:sig w:usb0="00000001" w:usb1="08000000" w:usb2="00000000" w:usb3="00000000" w:csb0="00040000" w:csb1="00000000"/>
  </w:font>
  <w:font w:name="DejaVu Sans">
    <w:altName w:val="Segoe Print"/>
    <w:panose1 w:val="020B0603030804020204"/>
    <w:charset w:val="00"/>
    <w:family w:val="auto"/>
    <w:pitch w:val="default"/>
    <w:sig w:usb0="E7006EFF" w:usb1="D200FDFF"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45461440">
    <w:nsid w:val="DF3F34C0"/>
    <w:multiLevelType w:val="singleLevel"/>
    <w:tmpl w:val="DF3F34C0"/>
    <w:lvl w:ilvl="0" w:tentative="1">
      <w:start w:val="1"/>
      <w:numFmt w:val="decimal"/>
      <w:suff w:val="nothing"/>
      <w:lvlText w:val="%1、"/>
      <w:lvlJc w:val="left"/>
    </w:lvl>
  </w:abstractNum>
  <w:num w:numId="1">
    <w:abstractNumId w:val="37454614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u w:val="single"/>
    </w:rPr>
  </w:style>
  <w:style w:type="paragraph" w:customStyle="1" w:styleId="8">
    <w:name w:val="List Paragraph"/>
    <w:basedOn w:val="1"/>
    <w:qFormat/>
    <w:uiPriority w:val="34"/>
    <w:pPr>
      <w:ind w:firstLine="420" w:firstLineChars="200"/>
    </w:pPr>
  </w:style>
  <w:style w:type="paragraph" w:customStyle="1" w:styleId="9">
    <w:name w:val="_Style 12"/>
    <w:basedOn w:val="1"/>
    <w:next w:val="1"/>
    <w:qFormat/>
    <w:uiPriority w:val="0"/>
    <w:pPr>
      <w:pBdr>
        <w:bottom w:val="single" w:color="auto" w:sz="6" w:space="1"/>
      </w:pBdr>
      <w:jc w:val="center"/>
    </w:pPr>
    <w:rPr>
      <w:rFonts w:ascii="Arial" w:eastAsia="宋体"/>
      <w:vanish/>
      <w:sz w:val="16"/>
    </w:rPr>
  </w:style>
  <w:style w:type="character" w:customStyle="1" w:styleId="10">
    <w:name w:val="页眉 Char Char"/>
    <w:basedOn w:val="6"/>
    <w:link w:val="4"/>
    <w:uiPriority w:val="99"/>
    <w:rPr>
      <w:sz w:val="18"/>
      <w:szCs w:val="18"/>
    </w:rPr>
  </w:style>
  <w:style w:type="character" w:customStyle="1" w:styleId="11">
    <w:name w:val="页脚 Char Char"/>
    <w:basedOn w:val="6"/>
    <w:link w:val="3"/>
    <w:uiPriority w:val="99"/>
    <w:rPr>
      <w:sz w:val="18"/>
      <w:szCs w:val="18"/>
    </w:rPr>
  </w:style>
  <w:style w:type="character" w:customStyle="1" w:styleId="12">
    <w:name w:val="批注框文本 Char Char"/>
    <w:basedOn w:val="6"/>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906</Words>
  <Characters>5170</Characters>
  <Lines>43</Lines>
  <Paragraphs>12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2018-05-04T16:14:00Z</dcterms:created>
  <dc:creator>admin</dc:creator>
  <cp:lastModifiedBy>Administrator</cp:lastModifiedBy>
  <cp:lastPrinted>2018-12-28T15:42:00Z</cp:lastPrinted>
  <dcterms:modified xsi:type="dcterms:W3CDTF">2024-01-02T01:15:27Z</dcterms:modified>
  <dc:title>经营主体2023年度年报填报指南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